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2.xml.rels" ContentType="application/vnd.openxmlformats-package.relationships+xml"/>
  <Override PartName="/customXml/_rels/item1.xml.rels" ContentType="application/vnd.openxmlformats-package.relationships+xml"/>
  <Override PartName="/customXml/itemProps2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tabs>
          <w:tab w:val="clear" w:pos="708"/>
          <w:tab w:val="left" w:pos="3261" w:leader="none"/>
        </w:tabs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Утверждено 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приказом Министерства 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образования и науки 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Республики Татарстан 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от _______________ 2026 г.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32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№ </w:t>
      </w:r>
      <w:r>
        <w:rPr>
          <w:rFonts w:eastAsia="Calibri" w:cs="Times New Roman" w:ascii="Times New Roman" w:hAnsi="Times New Roman"/>
          <w:sz w:val="28"/>
          <w:szCs w:val="28"/>
        </w:rPr>
        <w:t>_____________________</w:t>
      </w:r>
    </w:p>
    <w:p>
      <w:pPr>
        <w:pStyle w:val="31"/>
        <w:shd w:val="clear" w:color="auto" w:fill="auto"/>
        <w:spacing w:lineRule="auto" w:line="240" w:before="0" w:after="0"/>
        <w:jc w:val="both"/>
        <w:rPr>
          <w:rStyle w:val="3"/>
          <w:b/>
          <w:bCs/>
          <w:color w:val="000000"/>
        </w:rPr>
      </w:pPr>
      <w:r>
        <w:rPr>
          <w:b/>
          <w:bCs/>
          <w:color w:val="000000"/>
        </w:rPr>
      </w:r>
    </w:p>
    <w:p>
      <w:pPr>
        <w:pStyle w:val="31"/>
        <w:shd w:val="clear" w:color="auto" w:fill="auto"/>
        <w:spacing w:lineRule="auto" w:line="240" w:before="0" w:after="0"/>
        <w:rPr/>
      </w:pPr>
      <w:r>
        <w:rPr>
          <w:rStyle w:val="3"/>
          <w:b/>
          <w:bCs/>
          <w:color w:val="000000"/>
        </w:rPr>
        <w:t>ПОЛОЖЕНИЕ</w:t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rStyle w:val="3"/>
          <w:bCs w:val="false"/>
          <w:color w:val="000000"/>
        </w:rPr>
        <w:t xml:space="preserve">о республиканском конкурсе профессионального мастерства </w:t>
        <w:br/>
        <w:t xml:space="preserve">работников сферы воспитания и дополнительного образования </w:t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rStyle w:val="3"/>
          <w:bCs w:val="false"/>
          <w:color w:val="000000"/>
        </w:rPr>
        <w:t>«Воспитать человека»</w:t>
      </w:r>
    </w:p>
    <w:p>
      <w:pPr>
        <w:pStyle w:val="Normal"/>
        <w:spacing w:lineRule="auto" w:line="240" w:before="0" w:after="0"/>
        <w:jc w:val="both"/>
        <w:rPr>
          <w:rStyle w:val="3"/>
          <w:b w:val="false"/>
          <w:bCs w:val="false"/>
          <w:color w:val="000000"/>
        </w:rPr>
      </w:pPr>
      <w:r>
        <w:rPr>
          <w:b w:val="false"/>
          <w:bCs w:val="false"/>
          <w:color w:val="000000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ind w:hanging="0" w:left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Общие положения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1.1.</w:t>
        <w:tab/>
        <w:t>Настоящее Положение определяет порядок организации и проведения р</w:t>
      </w:r>
      <w:r>
        <w:rPr>
          <w:rStyle w:val="3"/>
          <w:b w:val="false"/>
          <w:bCs w:val="false"/>
          <w:color w:val="000000"/>
        </w:rPr>
        <w:t>еспубликанского конкурса профессионального мастерства работников сферы воспитания и дополнительного образования «Воспитать человека»</w:t>
      </w:r>
      <w:r>
        <w:rPr>
          <w:rFonts w:cs="Times New Roman" w:ascii="Times New Roman" w:hAnsi="Times New Roman"/>
          <w:sz w:val="28"/>
          <w:szCs w:val="28"/>
        </w:rPr>
        <w:t xml:space="preserve"> в 2026 году (далее – Конкурс).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1.2.</w:t>
        <w:tab/>
        <w:t>Организаторы Конкурса – Министерство образования и науки Республики Татарстан при поддержке Татарстанской республиканской организации общероссийского профсоюза образования (по согласованию).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Оператор Конкурса – государственное бюджетное учреждение дополнительного образования «Республиканский центр внешкольной работы» (далее – Оператор). Официальный сайт Оператора Конкурса: https://edu-1.tatar.ru/aviastroit/page10755.htm.</w:t>
      </w:r>
    </w:p>
    <w:p>
      <w:pPr>
        <w:pStyle w:val="Normal"/>
        <w:spacing w:lineRule="auto" w:line="240" w:before="0"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1.3. Конкурс проводится в соответствии с: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Федеральным законом от 29 декабря 2012 года № 273-ФЗ «Об образовании в Российской Федерации»;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Федеральным законом от 31 июля 2020 года № 304-ФЗ «О внесении изменений в Федеральный закон «Об образовании в Российской Федерации» по вопросам воспитания обучающихся»;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Указом Президента Российской Федерации от 07 мая 2024 года № 309 «О национальных целях развития Российской Федерации на период до 2030 года и на перспективу до 2036 года»;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Распоряжением Правительства Российской Федерации от 29 мая 2015 г.         №996-р «Об утверждении Стратегии развития воспитания в Российской Федерации на период до 2025 года»;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Государственной программой Российской Федерации «Развитие образования», утвержденной Постановлением Правительства Российской Федерации от 26 декабря 2017 г. №1642;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Концепцией развития дополнительного образования детей до 2030 года, утвержденной Распоряжением Правительства РФ от 31 марта 2022 г. №678-р.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ind w:hanging="0" w:left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Цели и задачи Конкурса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2.1.</w:t>
        <w:tab/>
        <w:t>Цель Конкурса – распространение среди профессионального педагогического сообщества новых форм, практик и инновационного педагогического опыта воспитания гармонично развитой и социально ответственной личности на основе духовно-нравственных ценностей, исторических и национально-культурных традиций Республики Татарстан.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2.2.</w:t>
        <w:tab/>
        <w:t>Задачи Конкурса: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выявление инновационных форм и практик воспитательной деятельности педагогических работников образовательных организаций;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содействие профессиональному развитию, квалификационному росту педагогических и управленческих работников, осуществляющих организацию воспитательного процесса в образовательных организациях;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трансляция лучших практик воспитательной деятельности педагогических и управленческих работников, обеспечивающих высокие результаты и качество организации воспитательного процесса в образовательных организациях;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формирование профессионального сообщества педагогических работников, заинтересованных в развитии воспитания;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привлечение внимания органов законодательной, исполнительной власти Республики Татарстан и органов местного самоуправления, некоммерческих организаций, средств массовой информации, широкой педагогической, родительской общественности и общественных организаций к вопросам организации воспитания и социализации детей в образовательных организациях.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ind w:hanging="0" w:left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Этапы и сроки проведения Конкурса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Конкурс проводится в три этапа.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3.1.</w:t>
        <w:tab/>
        <w:t>Первый этап – муниципальный очный проводится органами управления образованием исполнительных комитетов муниципальных образований Республики Татарстан.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3.2.</w:t>
        <w:tab/>
        <w:t>Второй этап – республиканский зональный очный (далее – зональный), проводится в период с 18 марта по 10 апреля 2026 г. (Приложение 4).</w:t>
      </w:r>
    </w:p>
    <w:p>
      <w:pPr>
        <w:pStyle w:val="Normal"/>
        <w:tabs>
          <w:tab w:val="clear" w:pos="708"/>
          <w:tab w:val="left" w:pos="426" w:leader="none"/>
          <w:tab w:val="left" w:pos="1055" w:leader="none"/>
          <w:tab w:val="left" w:pos="1276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color w:themeColor="text1"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3.3.</w:t>
        <w:tab/>
        <w:t xml:space="preserve">Третий этап – республиканский финальный очный </w:t>
      </w:r>
      <w:r>
        <w:rPr>
          <w:rFonts w:cs="Times New Roman" w:ascii="Times New Roman" w:hAnsi="Times New Roman"/>
          <w:color w:themeColor="text1" w:val="000000"/>
          <w:sz w:val="28"/>
          <w:szCs w:val="28"/>
        </w:rPr>
        <w:t>(далее – финальный), апрель-май 2026 г.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Формат и сроки проведения Конкурса могут меняться в зависимости от эпидемиологической ситуации в регионе.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ind w:hanging="0" w:left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Руководство Конкурсом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4.1.</w:t>
        <w:tab/>
        <w:t xml:space="preserve">Общее руководство Конкурсом осуществляет организационный комитет (далее – Оргкомитет).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4.1.1.</w:t>
        <w:tab/>
        <w:t>Оргкомитет: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определяет и утверждает состав жюри по номинациям зонального и финального этапов Конкурса;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определяет и утверждает список участников финального этапа Конкурса;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определяет и утверждает значения критериев оценки конкурсных испытаний;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осуществляет организационно-техническое обеспечение Конкурса.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4.1.2. Решения Оргкомитета оформляются протоколами, утверждаются председателем (заместителем председателя) Оргкомитета, являются окончательными и не подлежат пересмотру.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4.2.</w:t>
        <w:tab/>
        <w:t>Оператор осуществляет организационно-методическое, экспертно-аналитическое, информационно-техническое сопровождение Конкурса, организацию и проведение конкурсных процедур зонального и финального этапов Конкурса, работу с конкурсантами, организацию работу членов жюри, информирует о результатах зонального и финального этапов Конкурса на официальном сайте Оператора, осуществляет популяризацию Конкурса в средствах массовой информации.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4.3.</w:t>
        <w:tab/>
        <w:t>Жюри Конкурса: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осуществляет экспертную оценку конкурсных материалов и выполненных заданий участниками Конкурса в соответствии с критериями оценки конкурсных испытаний;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определяет победителей по каждой номинации на каждом этапе Конкурса.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4.3.1.</w:t>
        <w:tab/>
        <w:t>Состав жюри состоит не менее чем из 3 членов, включая Председателя, ответственного секретаря и членов жюри.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4.3.2.</w:t>
        <w:tab/>
        <w:t>Члены жюри обладают равными правами при рассмотрении вопросов на заседаниях.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4.3.3.</w:t>
        <w:tab/>
        <w:t>Решения жюри принимаются большинством голосов от присутствующих членов открытым голосованием. В случае равенства голосов голос председательствующего на заседании состава жюри является определяющим. Заседание Жюри правомочно (имеет кворум), если в нем принимает участие более половины членов Жюри.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4.3.4.</w:t>
        <w:tab/>
        <w:t>Решения жюри оформляются протоколами и подписываются всеми членами жюри.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4.3.5. Председатель жюри: председательствует, осуществляет организацию и координацию работы на заседаниях состава жюри, подписывает протоколы.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Calibri" w:cs="Times New Roman"/>
          <w:color w:val="000000"/>
          <w:sz w:val="28"/>
          <w:szCs w:val="28"/>
        </w:rPr>
      </w:pPr>
      <w:r>
        <w:rPr>
          <w:rFonts w:eastAsia="Calibri" w:cs="Times New Roman" w:ascii="Times New Roman" w:hAnsi="Times New Roman"/>
          <w:color w:val="000000"/>
          <w:sz w:val="28"/>
          <w:szCs w:val="28"/>
        </w:rPr>
        <w:t>4.3.6. Секретарь жюри: обеспечивает организацию работы, оформляет протоколы заседаний.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Участники Конкурса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5.1.</w:t>
        <w:tab/>
        <w:t xml:space="preserve">Участниками Конкурса могут быть педагогические и руководящие работники системы образования, осуществляющие организацию воспитательного процесса (далее – участники Конкурса):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классные руководители 5-11 классов общеобразовательных организаций;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педагоги-организаторы (организаторы ученического самоуправления и детских общественных объединений и движений) образовательных организаций;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советники директоров по воспитанию и взаимодействию с детскими общественными объединениями.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5.2.</w:t>
        <w:tab/>
        <w:t>Возраст участников Конкурса не ограничивается.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5.3.</w:t>
        <w:tab/>
        <w:t>Требования к педагогическому стажу и опыту профессиональной деятельности не выдвигаются.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5.4. Одно и то же физическое лицо не может одновременно принимать участие более чем в одной номинации.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1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Номинации Конкурса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Конкурс проводится по трем номинациям: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6.1.</w:t>
        <w:tab/>
        <w:t>«Воспитание классного коллектива».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Номинация для классных руководителей – ключевых организаторов воспитательной деятельности в образовательном процессе современных общеобразовательных организаций, реализующих эффективные воспитательные программы, проекты, методики и технологии, обеспечивающих полноту взаимодействия с обучающимися и их родителями (законными представителями), оказывающих содействие формированию классного коллектива как ключевой ячейки детских групповых сообществ, а также оказывающих содействие формированию ответственного отношения родителей или законных представителей к воспитанию детей, в том числе детей с ограниченными возможностями здоровья, детей-сирот, детей, оставшихся без попечения родителей, детей в трудной жизненной ситуации.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6.2.</w:t>
        <w:tab/>
        <w:t>«Воспитательные траектории детских общественных организаций, объединений».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Номинация для организаторов и руководителей детских общественных организаций, педагогов-организаторов, осуществляющих организацию и реализацию воспитательной деятельности в образовательном процессе, реализующих эффективные воспитательные программы, проекты, методики и технологии в рамках деятельности различных социальных институтов воспитания детей, в том числе детей с ограниченными возможностями здоровья, детей-сирот, детей, оставшихся без попечения родителей, детей в трудной жизненной ситуации, посредством вовлечения их в общественно значимую продуктивную деятельность детских общественных движений и объединений гражданского, патриотического, экологического и других социально значимых направлений.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6.3. «Навигаторы детства».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Номинация для советников директора по воспитанию и взаимодействию с детскими общественными объединениями, организующих внедрение новых форм в процесс воспитания и модернизацию воспитательного процесса в образовательных организациях.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61"/>
        <w:numPr>
          <w:ilvl w:val="0"/>
          <w:numId w:val="1"/>
        </w:numPr>
        <w:shd w:val="clear" w:color="auto" w:fill="auto"/>
        <w:tabs>
          <w:tab w:val="clear" w:pos="708"/>
          <w:tab w:val="left" w:pos="1896" w:leader="none"/>
        </w:tabs>
        <w:spacing w:lineRule="auto" w:line="240" w:before="0" w:after="120"/>
        <w:rPr/>
      </w:pPr>
      <w:r>
        <w:rPr/>
        <w:t>Порядок выдвижения кандидатур на участие в зональном этапе Конкурса</w:t>
      </w:r>
    </w:p>
    <w:p>
      <w:pPr>
        <w:pStyle w:val="71"/>
        <w:numPr>
          <w:ilvl w:val="1"/>
          <w:numId w:val="2"/>
        </w:numPr>
        <w:shd w:val="clear" w:color="auto" w:fill="auto"/>
        <w:spacing w:lineRule="auto" w:line="240"/>
        <w:ind w:firstLine="709" w:left="0"/>
        <w:rPr>
          <w:sz w:val="28"/>
          <w:szCs w:val="28"/>
        </w:rPr>
      </w:pPr>
      <w:r>
        <w:rPr>
          <w:sz w:val="28"/>
          <w:szCs w:val="28"/>
        </w:rPr>
        <w:t>Выдвижение кандидатов на участие в зональном этапе Конкурса проводится органами управления образованием исполнительных комитетов муниципальных образований Республики Татарстан из числа победителей муниципального этапа Конкурса (далее – муниципальные победители).</w:t>
      </w:r>
    </w:p>
    <w:p>
      <w:pPr>
        <w:pStyle w:val="71"/>
        <w:numPr>
          <w:ilvl w:val="1"/>
          <w:numId w:val="2"/>
        </w:numPr>
        <w:shd w:val="clear" w:color="auto" w:fill="auto"/>
        <w:spacing w:lineRule="auto" w:line="240"/>
        <w:ind w:firstLine="709" w:left="0"/>
        <w:rPr>
          <w:sz w:val="28"/>
          <w:szCs w:val="28"/>
        </w:rPr>
      </w:pPr>
      <w:r>
        <w:rPr>
          <w:sz w:val="28"/>
          <w:szCs w:val="28"/>
        </w:rPr>
        <w:t>Муниципальное образование Республики Татарстан может быть представлено на зональном этапе Конкурса одним победителем муниципального этапа Конкурса в каждой номинации (каждый район муниципальных образований          г.Казани и г.Набережные Челны может быть представлен на зональном этапе одним победителем муниципального этапа Конкурса в каждой номинации).</w:t>
      </w:r>
    </w:p>
    <w:p>
      <w:pPr>
        <w:pStyle w:val="71"/>
        <w:shd w:val="clear" w:color="auto" w:fill="auto"/>
        <w:spacing w:lineRule="auto" w:line="240"/>
        <w:ind w:left="709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8.</w:t>
        <w:tab/>
        <w:t>Порядок проведения зонального этапа Конкурса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8.1. </w:t>
      </w:r>
      <w:r>
        <w:rPr>
          <w:rFonts w:eastAsia="Times New Roman" w:cs="Times New Roman" w:ascii="Times New Roman" w:hAnsi="Times New Roman"/>
          <w:sz w:val="28"/>
          <w:szCs w:val="28"/>
          <w:lang w:eastAsia="ru-RU"/>
        </w:rPr>
        <w:t>Органы управления образованием исполнительных комитетов муниципальных образований Республики Татарстан</w:t>
      </w:r>
      <w:r>
        <w:rPr>
          <w:rFonts w:cs="Times New Roman" w:ascii="Times New Roman" w:hAnsi="Times New Roman"/>
          <w:sz w:val="28"/>
          <w:szCs w:val="28"/>
        </w:rPr>
        <w:t xml:space="preserve"> в срок до 9 марта 2026 г. предоставляют на электронную почту </w:t>
      </w:r>
      <w:r>
        <w:rPr>
          <w:rFonts w:cs="Times New Roman" w:ascii="Times New Roman" w:hAnsi="Times New Roman"/>
          <w:sz w:val="28"/>
          <w:szCs w:val="28"/>
          <w:lang w:val="en-US"/>
        </w:rPr>
        <w:t>rcvr</w:t>
      </w:r>
      <w:r>
        <w:rPr>
          <w:rFonts w:cs="Times New Roman" w:ascii="Times New Roman" w:hAnsi="Times New Roman"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  <w:lang w:val="en-US"/>
        </w:rPr>
        <w:t>socgum</w:t>
      </w:r>
      <w:r>
        <w:rPr>
          <w:rFonts w:cs="Times New Roman" w:ascii="Times New Roman" w:hAnsi="Times New Roman"/>
          <w:sz w:val="28"/>
          <w:szCs w:val="28"/>
        </w:rPr>
        <w:t>@</w:t>
      </w:r>
      <w:r>
        <w:rPr>
          <w:rFonts w:cs="Times New Roman" w:ascii="Times New Roman" w:hAnsi="Times New Roman"/>
          <w:sz w:val="28"/>
          <w:szCs w:val="28"/>
          <w:lang w:val="en-US"/>
        </w:rPr>
        <w:t>yandex</w:t>
      </w:r>
      <w:r>
        <w:rPr>
          <w:rFonts w:cs="Times New Roman" w:ascii="Times New Roman" w:hAnsi="Times New Roman"/>
          <w:sz w:val="28"/>
          <w:szCs w:val="28"/>
        </w:rPr>
        <w:t>.</w:t>
      </w:r>
      <w:r>
        <w:rPr>
          <w:rFonts w:cs="Times New Roman" w:ascii="Times New Roman" w:hAnsi="Times New Roman"/>
          <w:sz w:val="28"/>
          <w:szCs w:val="28"/>
          <w:lang w:val="en-US"/>
        </w:rPr>
        <w:t>ru</w:t>
      </w:r>
      <w:r>
        <w:rPr>
          <w:rStyle w:val="Hyperlink"/>
          <w:rFonts w:cs="Times New Roman" w:ascii="Times New Roman" w:hAnsi="Times New Roman"/>
          <w:sz w:val="28"/>
          <w:szCs w:val="28"/>
          <w:u w:val="none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с пометкой в теме письма «Воспитать человека» решение муниципального Оргкомитета в формате .pdf о выдвижении кандидатов для участия в зональном этапе Конкурса, заверенные подписью и печатью руководителя </w:t>
      </w:r>
      <w:r>
        <w:rPr>
          <w:rFonts w:cs="Times New Roman" w:ascii="Times New Roman" w:hAnsi="Times New Roman"/>
          <w:sz w:val="28"/>
          <w:szCs w:val="28"/>
          <w:lang w:eastAsia="ru-RU"/>
        </w:rPr>
        <w:t>органа управления образованием исполнительного комитета муниципального образования Республики Татарстан</w:t>
      </w:r>
      <w:r>
        <w:rPr>
          <w:rFonts w:cs="Times New Roman" w:ascii="Times New Roman" w:hAnsi="Times New Roman"/>
          <w:sz w:val="28"/>
          <w:szCs w:val="28"/>
        </w:rPr>
        <w:t xml:space="preserve"> согласно Приложению 1.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8.2. Участникам зонального этапа Конкурса в срок до 9 марта 2026 г. необходимо подать заявку на официальном сайте оператора Конкурса </w:t>
      </w:r>
      <w:hyperlink r:id="rId2">
        <w:r>
          <w:rPr>
            <w:rStyle w:val="Style9"/>
            <w:rFonts w:cs="Times New Roman" w:ascii="Times New Roman" w:hAnsi="Times New Roman"/>
            <w:sz w:val="28"/>
            <w:szCs w:val="28"/>
          </w:rPr>
          <w:t>https://edu.tatar.ru/aviastroit/page10755.htm/page4859315.htm</w:t>
        </w:r>
      </w:hyperlink>
      <w:r>
        <w:rPr>
          <w:rFonts w:cs="Times New Roman" w:ascii="Times New Roman" w:hAnsi="Times New Roman"/>
          <w:sz w:val="28"/>
          <w:szCs w:val="28"/>
        </w:rPr>
        <w:t>, прикрепить согласие на обработку персональных данных и согласие на обработку персональных данных, разрешенных для распространения (в случае их опубликования) в соответствии с требованиями Федерального закона от 27 июля 2006 г. № 152-ФЗ «О персональных данных».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8.3. Заявки, предоставленные позже 9 марта 2026 г., а также с нарушением требований к ним, не рассматриваются.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8.4. Зональный этап Конкурса включает 2 конкурсных испытания.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8.4.1. Визитная карточка участника.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8.4.2. Защита паспорта воспитательной практики (Приложение 3).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8.5.</w:t>
        <w:tab/>
        <w:t>Жюри зонального этапа Конкурса осуществляет экспертную оценку участников в соответствии с критериями (Приложение 2); определяет рейтинг участников зонального этапа Конкурса.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8.6. Лидеры рейтинга – 12 участников в каждой номинации, набравшие наибольшее количество баллов, становятся участниками финального этапа Конкурса.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8.7. Список участников финального этапа Конкурса размещается на официальном сайте Оператора Конкурса до 10 апреля 2026 года.</w:t>
      </w:r>
    </w:p>
    <w:p>
      <w:pPr>
        <w:pStyle w:val="Normal"/>
        <w:spacing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8.8. В случае невозможности по объективным причинам участия в финальном этапе Конкурса по решению Оргкомитета конкурсант может быть заменен участником, следующим по количеству баллов в рейтинге, в соответствии с результатами зонального этапа Конкурса.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9.</w:t>
        <w:tab/>
        <w:t>Порядок проведения финального этапа Конкурса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Финальный этап Конкурса проходит в два тура.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9.1.</w:t>
        <w:tab/>
        <w:t>Первый тур финального этапа Конкурса проходит по номинациям и включает два конкурсных испытания.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9.1.1. </w:t>
        <w:tab/>
        <w:t>Конкурсное испытание «Публичное выступление + Блицопрос по вопросам воспитания».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Публичное выступление представляет собой индивидуальное выступление на сцене по одной из заданных тем Конкурса.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Темы публичного выступления для номинации «Воспитание классного коллектива»: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«Родитель, учитель, ребенок: взаимопонимание и взаимное сотрудничество в воспитании настоящего человека».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«Истинное воспитание – это искусство сплетения отдельных «я» в созидательное и гармоничное «мы».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cs="Times New Roman" w:ascii="Times New Roman" w:hAnsi="Times New Roman"/>
          <w:sz w:val="28"/>
          <w:szCs w:val="28"/>
        </w:rPr>
        <w:t>«Класс как территория безопасности и ответственности».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Темы публичного выступления для номинации «Воспитательные траектории детских общественных организаций, объединений»: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«Тема единства народов России как часть жизни общества, образовательной организации, семьи и ребёнка».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«Законы педагогики – универсальны, ключи к детям – уникальны».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«Воспитательная среда образовательной организации как живое пространство взаимодействия обучающегося и наставника».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Темы публичного выступления для номинации «Навигаторы детства»: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«Новая философия воспитания как национальная система воспитания, отвечающая приоритетам государственной политики в области образования, воспитания, защиты интересов детей и молодёжи, суверенного будущего и безопасности страны».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«Наставничество как ресурс духовно-нравственного воспитания обучающихся».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«Общая ответственность, единые цели: совместный путь советника и родителя».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Каждый конкурсант получает тему публичного выступления по итогам жеребьевки в номинации. Жеребьевка проводится в онлайн-формате не позднее, чем за 10 дней до начала первого тура финального этапа Конкурса.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Блицопрос по вопросам воспитания – это быстрый, краткий опрос, в рамках которого нужно дать моментальный, лаконичный ответ за ограниченное время на поставленные вопросы.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Каждому участнику непосредственно на конкурсном испытании предлагаются три вопроса, связанных с его профессиональной деятельностью и номинацией, жюри вправе задать участникам дополнительные вопросы, если ответы конкурсантов, по мнению членов жюри, нуждаются в уточнении.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Продолжительность публичного выступления до 5 минут, вопросы по воспитанию и ответы участника до 10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Общая продолжительность конкурсного испытания – 15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9.1.2. Конкурсное испытание «Мастер-класс»: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Формат конкурсного испытания: мастер-класс, нацеленный на обмен опытом через интерактивную демонстрацию наиболее значимых в воспитательной практике конкурсанта технологий, методов, приемов.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Организационная схема проведения конкурсного испытания: мастер-класс проводится участником для других участников Конкурса в своей номинации и предполагает наличие интерактивного взаимодействия. Тему, содержание и форму проведения мастер-класса (тренинговое занятие, деловая имитационная игра, моделирование, мастерская, творческая лаборатория, воркшоп и др.), количественный состав фокус-группы конкурсанты определяют самостоятельно. Важно: мастер-класс не является презентацией деятельности педагога, а представляет собой методическое мероприятие практической направленности.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При проведении мастер-класса конкурсант может использовать заранее подготовленные материалы (средства наглядности, раздаточный материал, игровые атрибуты и проч.). Материалы для проведения мастер-класса предоставляются участниками самостоятельно. Участие помощников при проведении мастер-класса не допускается.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Регламент конкурсного испытания: мастер-класс – до 15 минут, конкурсант осуществляет самоанализ проведенного мастер-класса и отвечает на вопросы членов жюри – до 5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Общая продолжительность конкурсного испытания – 20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9.1.3. Первый тур финального этапа Конкурса жюри оценивает отдельно по каждой номинации.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Победители в каждой номинации – 3 победителя первого тура финального этапа – становятся участниками второго тура финального этапа Конкурса.</w:t>
      </w:r>
    </w:p>
    <w:p>
      <w:pPr>
        <w:pStyle w:val="Normal"/>
        <w:tabs>
          <w:tab w:val="clear" w:pos="708"/>
          <w:tab w:val="left" w:pos="144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9.2.</w:t>
        <w:tab/>
        <w:t>Второй тур финального этапа Конкурса проводится для 9 финалистов первого тура финального этапа Конкурса и включает 2 конкурсных испытания.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9.2.1. Конкурсное испытание «Видеоподкаст о воспитании».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Формат конкурсного испытания: создание видеоролика на заданную тему и его размещение на официальной странице образовательной организации в социальной сети ВКонтакте, ресурсы должны иметь открытый доступ для возможности оценивания конкурсного испытания членами жюри.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Видеоролик создается участником на основании предложенных тем, актуальных в области воспитания. Темы конкурсного испытания по номинациям определяются Оргкомитетом Конкурса и доводятся до участников финала Конкурса не позднее, чем за 10 дней до начала второго тура финального этапа Конкурса. Видеоподкаст должен включать отношение участника к обозначенной проблеме и варианты улучшения ситуации/разрешения проблемы для государственной политики в сфере воспитания. На вступительной заставке видеоподкаста должны быть отражены данные участника: ФИО, полное название образовательной организации, номинация. Продолжительность видеоролика не должна превышать 3 (трех)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Участник размещает видеоподкаст в социальных сетях с добавлением обязательных хэштегов #воспитатьчеловека#2026 не позднее, чем за 7 дней до начала второго тура финального этапа Конкурса. Размещённая публикация должна иметь свободный доступ широкому кругу пользователей.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На Конкурсе участник демонстрирует видеоролик, предоставляет ссылку на видеоподкаст членам жюри, комментирует основную идею видеоподкаста, отвечает на вопросы членов жюри.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Регламент конкурсного испытания: демонстрация видеоподкаста – 3 минуты, комментарии участника – 2 минуты, вопросы жюри и ответы участника – до 5 минут.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Общая продолжительность конкурсного испытания – 10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9.2.2.</w:t>
        <w:tab/>
        <w:t xml:space="preserve">Конкурсное испытание «Работа над ошибками».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Формат конкурсного испытания: участникам предлагается кинофрагмент, в котором демонстрируется ситуация, связанная с воспитательным процессом. Участникам предстоит проанализировать фрагмент с точки зрения решения задач воспитания, выявить ошибки, совершенные взрослым в воспитании детей, оценить эффективность показанного воспитательного воздействия, аргументировать свои выводы и предложить свой вариант решения воспитательной задачи.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Каждый конкурсант получает задание по итогам жеребьевки. 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Регламент конкурсного испытания: общее время на подготовку анализа кинофрагмента – 30 минут, время на индивидуальное представление анализа – не более 5 минут, ответы на вопросы жюри – до 5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Общая продолжительность конкурсного испытания – 40 минут.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9.3.</w:t>
        <w:tab/>
        <w:t>Требования к конкурсным испытаниям финального этапа Конкурса представлены в приложении № 2.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240" w:before="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10.</w:t>
        <w:tab/>
        <w:t>Подведение итогов Конкурса</w:t>
      </w:r>
    </w:p>
    <w:p>
      <w:pPr>
        <w:pStyle w:val="Normal"/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10.1.</w:t>
        <w:tab/>
        <w:t xml:space="preserve">Участники зонального этапа Конкурса, не прошедшие в финал Конкурса, получают Свидетельство участника зонального этапа Конкурса в электронном виде на адреса электронной почты, указанные в заявке. </w:t>
      </w:r>
    </w:p>
    <w:p>
      <w:pPr>
        <w:pStyle w:val="Normal"/>
        <w:tabs>
          <w:tab w:val="clear" w:pos="708"/>
          <w:tab w:val="left" w:pos="144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10.2. Три участника в каждой номинации, набравшие наибольшее количество баллов по результатам 1 тура финального этапа Конкурса, объявляются победителями и призерами в номинациях и получают Диплом победителя Конкурса в номинации (1 место) и Диплом призера Конкурса в номинации (2 и 3 место). Остальные участники 1 тура финала Конкурса получают Свидетельство участника финала Конкурса.</w:t>
      </w:r>
    </w:p>
    <w:p>
      <w:pPr>
        <w:pStyle w:val="Normal"/>
        <w:tabs>
          <w:tab w:val="clear" w:pos="708"/>
          <w:tab w:val="left" w:pos="1440" w:leader="none"/>
        </w:tabs>
        <w:spacing w:lineRule="auto" w:line="240" w:before="0"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10.3. Из девяти участников второго тура финального этапа Конкурса участник, набравший наибольшее количество баллов, объявляется Абсолютным победителем Конкурса и получает Диплом Абсолютного победителя Конкурса.</w:t>
      </w:r>
    </w:p>
    <w:p>
      <w:pPr>
        <w:pStyle w:val="Normal"/>
        <w:tabs>
          <w:tab w:val="clear" w:pos="708"/>
          <w:tab w:val="left" w:pos="1440" w:leader="none"/>
        </w:tabs>
        <w:spacing w:lineRule="auto" w:lin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10.4.</w:t>
        <w:tab/>
        <w:t>По решению Оргкомитета финалистам могут быть учреждены специальные дипломы.</w:t>
      </w:r>
    </w:p>
    <w:p>
      <w:pPr>
        <w:pStyle w:val="Normal"/>
        <w:tabs>
          <w:tab w:val="clear" w:pos="708"/>
          <w:tab w:val="left" w:pos="1440" w:leader="none"/>
        </w:tabs>
        <w:spacing w:lineRule="auto" w:lin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1440" w:leader="none"/>
        </w:tabs>
        <w:spacing w:lineRule="auto" w:line="24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53"/>
        <w:shd w:val="clear" w:color="auto" w:fill="auto"/>
        <w:spacing w:lineRule="auto" w:line="240" w:before="0" w:after="0"/>
        <w:ind w:left="5720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>
      <w:pPr>
        <w:pStyle w:val="Normal"/>
        <w:spacing w:lineRule="auto" w:line="240"/>
        <w:ind w:left="5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Положению о республиканском конкурсе профессионального мастерства работников сферы воспитания и дополнительного образования «Воспитать человека»</w:t>
      </w:r>
    </w:p>
    <w:p>
      <w:pPr>
        <w:pStyle w:val="53"/>
        <w:shd w:val="clear" w:color="auto" w:fill="auto"/>
        <w:spacing w:lineRule="auto" w:line="240"/>
        <w:jc w:val="right"/>
        <w:rPr/>
      </w:pPr>
      <w:r>
        <w:rPr/>
      </w:r>
    </w:p>
    <w:p>
      <w:pPr>
        <w:pStyle w:val="53"/>
        <w:shd w:val="clear" w:color="auto" w:fill="auto"/>
        <w:spacing w:lineRule="auto" w:line="240"/>
        <w:jc w:val="right"/>
        <w:rPr/>
      </w:pPr>
      <w:r>
        <w:rPr/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Решение о выдвижении кандидатур для участия в зональном этапе</w:t>
      </w:r>
    </w:p>
    <w:p>
      <w:pPr>
        <w:pStyle w:val="Normal"/>
        <w:tabs>
          <w:tab w:val="clear" w:pos="708"/>
          <w:tab w:val="left" w:pos="851" w:leader="none"/>
        </w:tabs>
        <w:spacing w:lineRule="auto" w:line="240" w:before="0" w:after="0"/>
        <w:jc w:val="center"/>
        <w:textAlignment w:val="baseline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республиканского конкурса профессионального мастерства работников сферы воспитания и дополнительного образования «Воспитать человека»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jc w:val="center"/>
        <w:textAlignment w:val="baseline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jc w:val="center"/>
        <w:textAlignment w:val="baseline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_________________________________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</w:rPr>
      </w:pPr>
      <w:r>
        <w:rPr>
          <w:rFonts w:eastAsia="Times New Roman" w:cs="Times New Roman" w:ascii="Times New Roman" w:hAnsi="Times New Roman"/>
        </w:rPr>
        <w:t xml:space="preserve">                                                             </w:t>
      </w:r>
      <w:r>
        <w:rPr>
          <w:rFonts w:eastAsia="Times New Roman" w:cs="Times New Roman" w:ascii="Times New Roman" w:hAnsi="Times New Roman"/>
        </w:rPr>
        <w:t>муниципальное образование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Дата проведения муниципального этапа _______________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Площадка проведения муниципального этапа __________________________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Количество участников муниципального этапа ______, в т. ч. по номинациям: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(номинация – количество участников)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eastAsia="Times New Roman" w:cs="Times New Roman" w:ascii="Times New Roman" w:hAnsi="Times New Roman"/>
          <w:sz w:val="28"/>
          <w:szCs w:val="28"/>
        </w:rPr>
        <w:t>По итогам конкурсного отбора выдвинуть для участия в зональном этапе Конкурса по номинациям следующих педагогических работников:</w:t>
      </w:r>
    </w:p>
    <w:p>
      <w:pPr>
        <w:pStyle w:val="Normal"/>
        <w:tabs>
          <w:tab w:val="clear" w:pos="708"/>
          <w:tab w:val="left" w:pos="851" w:leader="none"/>
        </w:tabs>
        <w:spacing w:lineRule="auto" w:line="240"/>
        <w:textAlignment w:val="baseline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</w:r>
    </w:p>
    <w:tbl>
      <w:tblPr>
        <w:tblStyle w:val="22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427"/>
        <w:gridCol w:w="1151"/>
        <w:gridCol w:w="1169"/>
        <w:gridCol w:w="1047"/>
        <w:gridCol w:w="1198"/>
        <w:gridCol w:w="1267"/>
        <w:gridCol w:w="1567"/>
        <w:gridCol w:w="1133"/>
        <w:gridCol w:w="1245"/>
      </w:tblGrid>
      <w:tr>
        <w:trPr/>
        <w:tc>
          <w:tcPr>
            <w:tcW w:w="4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№</w:t>
            </w:r>
          </w:p>
        </w:tc>
        <w:tc>
          <w:tcPr>
            <w:tcW w:w="1151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Номинация конкурса</w:t>
            </w:r>
          </w:p>
        </w:tc>
        <w:tc>
          <w:tcPr>
            <w:tcW w:w="1169" w:type="dxa"/>
            <w:tcBorders/>
          </w:tcPr>
          <w:p>
            <w:pPr>
              <w:pStyle w:val="Normal"/>
              <w:widowControl/>
              <w:suppressAutoHyphens w:val="true"/>
              <w:spacing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 xml:space="preserve">Фамилия, имя, отчество (последнее - при наличии) </w:t>
            </w:r>
          </w:p>
        </w:tc>
        <w:tc>
          <w:tcPr>
            <w:tcW w:w="10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Дата рождения</w:t>
            </w:r>
          </w:p>
        </w:tc>
        <w:tc>
          <w:tcPr>
            <w:tcW w:w="119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Должность, место работы (полное название)</w:t>
            </w:r>
          </w:p>
        </w:tc>
        <w:tc>
          <w:tcPr>
            <w:tcW w:w="12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Сведения об образовании</w:t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Педагогический стаж</w:t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Стаж работы в данной должности</w:t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18"/>
                <w:szCs w:val="18"/>
                <w:lang w:val="ru-RU" w:bidi="ar-SA"/>
              </w:rPr>
              <w:t>Контактный телефон (сотовый)</w:t>
            </w:r>
          </w:p>
        </w:tc>
      </w:tr>
      <w:tr>
        <w:trPr/>
        <w:tc>
          <w:tcPr>
            <w:tcW w:w="42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15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169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04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19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2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567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133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  <w:tc>
          <w:tcPr>
            <w:tcW w:w="1245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center"/>
              <w:rPr>
                <w:rFonts w:ascii="Times New Roman" w:hAnsi="Times New Roman" w:eastAsia="Times New Roman" w:cs="Times New Roman"/>
              </w:rPr>
            </w:pPr>
            <w:r>
              <w:rPr>
                <w:rFonts w:eastAsia="Times New Roman" w:cs="Times New Roman" w:ascii="Times New Roman" w:hAnsi="Times New Roman"/>
                <w:kern w:val="0"/>
                <w:lang w:val="ru-RU" w:bidi="ar-SA"/>
              </w:rPr>
            </w:r>
          </w:p>
        </w:tc>
      </w:tr>
    </w:tbl>
    <w:p>
      <w:pPr>
        <w:pStyle w:val="53"/>
        <w:shd w:val="clear" w:color="auto" w:fill="auto"/>
        <w:spacing w:lineRule="auto" w:line="240"/>
        <w:jc w:val="right"/>
        <w:rPr/>
      </w:pPr>
      <w:r>
        <w:rPr/>
      </w:r>
    </w:p>
    <w:p>
      <w:pPr>
        <w:pStyle w:val="53"/>
        <w:shd w:val="clear" w:color="auto" w:fill="auto"/>
        <w:spacing w:lineRule="auto" w:line="240"/>
        <w:jc w:val="center"/>
        <w:rPr/>
      </w:pPr>
      <w:r>
        <w:rPr/>
      </w:r>
      <w:r>
        <w:br w:type="page"/>
      </w:r>
    </w:p>
    <w:p>
      <w:pPr>
        <w:pStyle w:val="53"/>
        <w:shd w:val="clear" w:color="auto" w:fill="auto"/>
        <w:spacing w:lineRule="auto" w:line="240" w:before="0" w:after="0"/>
        <w:ind w:left="5720"/>
        <w:rPr>
          <w:sz w:val="24"/>
          <w:szCs w:val="24"/>
        </w:rPr>
      </w:pPr>
      <w:r>
        <w:rPr>
          <w:sz w:val="24"/>
          <w:szCs w:val="24"/>
        </w:rPr>
        <w:t>Приложение 2</w:t>
      </w:r>
    </w:p>
    <w:p>
      <w:pPr>
        <w:pStyle w:val="Normal"/>
        <w:spacing w:lineRule="auto" w:line="240"/>
        <w:ind w:left="5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Положению о республиканском конкурсе профессионального мастерства работников сферы воспитания и дополнительного образования «Воспитать человека»</w:t>
      </w:r>
    </w:p>
    <w:p>
      <w:pPr>
        <w:pStyle w:val="Normal"/>
        <w:spacing w:lineRule="auto" w:line="240" w:before="0" w:after="0"/>
        <w:jc w:val="both"/>
        <w:rPr>
          <w:rStyle w:val="Style14"/>
          <w:color w:val="000000"/>
          <w:sz w:val="28"/>
          <w:szCs w:val="28"/>
        </w:rPr>
      </w:pPr>
      <w:r>
        <w:rPr>
          <w:color w:val="000000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и критерии оценки конкурсных испытаний зонального этапа р</w:t>
      </w:r>
      <w:r>
        <w:rPr>
          <w:rStyle w:val="3"/>
          <w:bCs w:val="false"/>
          <w:color w:val="000000"/>
        </w:rPr>
        <w:t xml:space="preserve">еспубликанского конкурса профессионального мастерства работников </w:t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rStyle w:val="3"/>
          <w:bCs w:val="false"/>
          <w:color w:val="000000"/>
        </w:rPr>
        <w:t xml:space="preserve">сферы воспитания и дополнительного образования </w:t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rStyle w:val="3"/>
          <w:bCs w:val="false"/>
          <w:color w:val="000000"/>
        </w:rPr>
        <w:t>«Воспитать человека»</w:t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bCs w:val="false"/>
          <w:color w:val="000000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1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Требования и критерии оценки конкурсного испытания «Видеовизитка» </w:t>
      </w:r>
    </w:p>
    <w:tbl>
      <w:tblPr>
        <w:tblStyle w:val="af2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326"/>
        <w:gridCol w:w="7878"/>
      </w:tblGrid>
      <w:tr>
        <w:trPr/>
        <w:tc>
          <w:tcPr>
            <w:tcW w:w="23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Требования к содержанию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визитной карточки</w:t>
            </w:r>
          </w:p>
        </w:tc>
        <w:tc>
          <w:tcPr>
            <w:tcW w:w="7878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Длительность выступления до 3 минут.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Выступление должно демонстрировать основные ценностные ориентиры, идеи и направления реализации воспитательной практики участника в соответствии с выбранной номинацией, а также дающий представление о его мотивации к участию в Конкурсе. Выступление может сопровождаться презентацией.</w:t>
            </w:r>
          </w:p>
        </w:tc>
      </w:tr>
      <w:tr>
        <w:trPr/>
        <w:tc>
          <w:tcPr>
            <w:tcW w:w="2326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Критерии оценки визитной карточки</w:t>
            </w:r>
          </w:p>
        </w:tc>
        <w:tc>
          <w:tcPr>
            <w:tcW w:w="7878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Демонстрируется нацеленность воспитательной деятельности на сохранение и укрепление традиционных российских духовно-нравственных ценностей;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Обозначена цель и планируемые результаты участия в Конкурсе;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Транслируемая информация позволяет составить представление о воспитательной практике;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Обозначены особенности условий реализации представляемого опыта;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Демонстрируется индивидуальный стиль профессиональной деятельности и оригинальность воспитательной практики;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bidi="ar-SA"/>
              </w:rPr>
              <w:t>Информация представляется целостно и структурированно;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Соблюдается соответствие презентации содержанию выступления;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Композиция и содержание привлекают внимание и вызывают интерес;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Демонстрируется информационная, коммуникативная и языковая культура.</w:t>
            </w:r>
          </w:p>
        </w:tc>
      </w:tr>
      <w:tr>
        <w:trPr/>
        <w:tc>
          <w:tcPr>
            <w:tcW w:w="2326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Требования к регламенту</w:t>
            </w:r>
          </w:p>
        </w:tc>
        <w:tc>
          <w:tcPr>
            <w:tcW w:w="7878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 xml:space="preserve">Выступление </w:t>
            </w:r>
            <w:r>
              <w:rPr>
                <w:rFonts w:eastAsia="Calibri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до 3 минут</w:t>
            </w: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24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и критерии оценки конкурсного испытания «Защита Паспорта воспитательной практики»</w:t>
      </w:r>
    </w:p>
    <w:p>
      <w:pPr>
        <w:pStyle w:val="ListParagraph"/>
        <w:spacing w:lineRule="auto" w:line="240" w:before="0" w:after="120"/>
        <w:ind w:firstLine="720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spacing w:lineRule="auto" w:line="240" w:before="0" w:after="120"/>
        <w:ind w:firstLine="720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Паспорт воспитательной практики - краткая характеристика инновационной воспитательной практики участника, в которой дается пояснение цели и задачам работы, механизмам реализации, описание основных частей работы, а также результаты (в том числе ожидаемые). Паспорт воспитательной практики позволяет максимально полно понять суть практики, ее особенности и ценность.</w:t>
      </w:r>
    </w:p>
    <w:p>
      <w:pPr>
        <w:pStyle w:val="ListParagraph"/>
        <w:spacing w:lineRule="auto" w:line="240" w:before="0" w:after="120"/>
        <w:ind w:firstLine="720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Паспорт воспитательной практики оформляется согласно Шаблону оформления Паспорта воспитательной практики в Приложении 3 к Положению.</w:t>
      </w:r>
    </w:p>
    <w:p>
      <w:pPr>
        <w:pStyle w:val="ListParagraph"/>
        <w:spacing w:lineRule="auto" w:line="240" w:before="0" w:after="120"/>
        <w:ind w:firstLine="720" w:left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Защита Паспорта воспитательной практики сопровождается презентацией.</w:t>
      </w:r>
    </w:p>
    <w:tbl>
      <w:tblPr>
        <w:tblStyle w:val="af2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012"/>
        <w:gridCol w:w="8192"/>
      </w:tblGrid>
      <w:tr>
        <w:trPr/>
        <w:tc>
          <w:tcPr>
            <w:tcW w:w="2012" w:type="dxa"/>
            <w:tcBorders/>
          </w:tcPr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left"/>
              <w:rPr>
                <w:rFonts w:cs="Times New Roman"/>
                <w:sz w:val="24"/>
                <w:szCs w:val="24"/>
              </w:rPr>
            </w:pPr>
            <w:r>
              <w:rPr>
                <w:rStyle w:val="212pt"/>
                <w:rFonts w:eastAsia="Calibri" w:cs="Times New Roman"/>
                <w:color w:val="000000"/>
                <w:kern w:val="0"/>
                <w:lang w:val="ru-RU" w:bidi="ar-SA"/>
              </w:rPr>
              <w:t>Требования к оформлению «Паспорта воспитательной практики»</w:t>
            </w:r>
          </w:p>
        </w:tc>
        <w:tc>
          <w:tcPr>
            <w:tcW w:w="8192" w:type="dxa"/>
            <w:tcBorders/>
          </w:tcPr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rStyle w:val="212pt"/>
                <w:rFonts w:cs="Times New Roman"/>
                <w:color w:val="000000"/>
              </w:rPr>
            </w:pPr>
            <w:r>
              <w:rPr>
                <w:rStyle w:val="212pt"/>
                <w:rFonts w:eastAsia="Calibri" w:cs="Times New Roman"/>
                <w:color w:val="000000"/>
                <w:kern w:val="0"/>
                <w:lang w:val="ru-RU" w:bidi="ar-SA"/>
              </w:rPr>
              <w:t>Оформление Паспорта воспитательной практики в соответствии с Шаблоном (Приложение 3 к Положению).</w:t>
            </w:r>
          </w:p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eastAsia="Calibri" w:cs="Times New Roman"/>
                <w:kern w:val="0"/>
                <w:sz w:val="24"/>
                <w:szCs w:val="24"/>
                <w:lang w:val="ru-RU" w:bidi="ar-SA"/>
              </w:rPr>
              <w:t>Наличие титульного листа; язык – русский; формат документа *doc, *docx; формат страницы – А4 (210х297 мм); ориентация книжная; поля (верхнее, нижнее, левое – 20 мм, правое – 15 мм); тип шрифта: Times New Roman, размер шрифта (кегль) – 14; выравнивание текста – по ширине; абзац – отступ первой строки (1,25 см).</w:t>
            </w:r>
          </w:p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rStyle w:val="fontstyle01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01"/>
                <w:rFonts w:eastAsia="Calibri" w:cs="Times New Roman"/>
                <w:kern w:val="0"/>
                <w:sz w:val="24"/>
                <w:szCs w:val="24"/>
                <w:lang w:val="ru-RU" w:bidi="ar-SA"/>
              </w:rPr>
              <w:t xml:space="preserve">Объем: не более 10 (десяти) страниц печатного текста (не считая приложений). </w:t>
            </w:r>
          </w:p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Style w:val="fontstyle01"/>
                <w:rFonts w:eastAsia="Calibri" w:cs="Times New Roman"/>
                <w:kern w:val="0"/>
                <w:sz w:val="24"/>
                <w:szCs w:val="24"/>
                <w:lang w:val="ru-RU" w:bidi="ar-SA"/>
              </w:rPr>
              <w:t>В качестве приложений к паспорту воспитательной практики могут рассматриваться рисунки, диаграммы, таблицы. Фотографии мероприятий и прочие виды визуализации практики в качестве приложений не принимаются и не оцениваются.</w:t>
            </w:r>
          </w:p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При заимствовании материала для работы из различного рода печатных или интернет-источников необходимо приводить ссылки на данные источники с внесением их в список использованной литературы.</w:t>
            </w:r>
          </w:p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Fonts w:eastAsia="Calibri" w:cs="Times New Roman"/>
                <w:kern w:val="0"/>
                <w:sz w:val="24"/>
                <w:szCs w:val="24"/>
                <w:lang w:val="ru-RU" w:bidi="ar-SA"/>
              </w:rPr>
              <w:t>Ссылки на источники литературы в тексте необходимо оформлять в квадратных скобках.</w:t>
            </w:r>
          </w:p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both"/>
              <w:rPr>
                <w:rFonts w:cs="Times New Roman"/>
                <w:sz w:val="24"/>
                <w:szCs w:val="24"/>
              </w:rPr>
            </w:pPr>
            <w:r>
              <w:rPr>
                <w:rStyle w:val="fontstyle01"/>
                <w:rFonts w:eastAsia="Calibri" w:cs="Times New Roman"/>
                <w:kern w:val="0"/>
                <w:sz w:val="24"/>
                <w:szCs w:val="24"/>
                <w:lang w:val="ru-RU" w:bidi="ar-SA"/>
              </w:rPr>
              <w:t>Оригинальность описания воспитательной практики должна составлять не менее 60% по результатам проверки в системе «Антиплагиат». Проверка производится самим участником, отчёт о результатах проверки (скриншот, на котором виден адрес сайта, на котором производилась проверка и результат проверки) размещаются в качестве приложения к паспорту воспитательной практики.</w:t>
            </w:r>
          </w:p>
        </w:tc>
      </w:tr>
      <w:tr>
        <w:trPr/>
        <w:tc>
          <w:tcPr>
            <w:tcW w:w="201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Требования к регламенту</w:t>
            </w:r>
          </w:p>
        </w:tc>
        <w:tc>
          <w:tcPr>
            <w:tcW w:w="8192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Выступление не более 10 минут, ответы на вопросы членов жюри до 5 минут.</w:t>
            </w:r>
          </w:p>
        </w:tc>
      </w:tr>
      <w:tr>
        <w:trPr/>
        <w:tc>
          <w:tcPr>
            <w:tcW w:w="2012" w:type="dxa"/>
            <w:tcBorders/>
          </w:tcPr>
          <w:p>
            <w:pPr>
              <w:pStyle w:val="21"/>
              <w:shd w:val="clear" w:color="auto" w:fill="auto"/>
              <w:suppressAutoHyphens w:val="true"/>
              <w:spacing w:lineRule="auto" w:line="240" w:before="0" w:after="0"/>
              <w:ind w:hanging="0"/>
              <w:jc w:val="left"/>
              <w:rPr>
                <w:rStyle w:val="212pt"/>
                <w:rFonts w:cs="Times New Roman"/>
                <w:color w:val="000000"/>
              </w:rPr>
            </w:pP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Критерии оценки</w:t>
            </w:r>
            <w:r>
              <w:rPr>
                <w:rFonts w:eastAsia="Calibri" w:cs="Times New Roman"/>
                <w:kern w:val="0"/>
                <w:lang w:val="ru-RU" w:bidi="ar-SA"/>
              </w:rPr>
              <w:t xml:space="preserve"> </w:t>
            </w:r>
            <w:r>
              <w:rPr>
                <w:rFonts w:eastAsia="Times New Roman" w:cs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Паспорта воспитательной практики </w:t>
            </w:r>
          </w:p>
        </w:tc>
        <w:tc>
          <w:tcPr>
            <w:tcW w:w="8192" w:type="dxa"/>
            <w:tcBorders/>
            <w:vAlign w:val="center"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Содержание воспитательной практики соответствует выбранной номинации Конкурса;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Практика ориентирована на реализацию государственной политики в области воспитания, на сохранение и укрепление традиционных российских духовно нравственных ценностей;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Актуальность воспитательной практики обоснована четко и убедительно;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Цели, задачи и планируемые результаты соответствуют заявленной теме;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Цели, задачи и планируемые результаты адекватны и согласованы;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Содержание воспитательной практики и формы ее реализации соответствуют заявленным целям и задачам;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Воспитательная практика соответствует возрасту целевой аудитории;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Условия и ресурсы реализации практики представлены полно и четко;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Подтверждается эффективность и результативность реализации практики, представлены количественные и качественные результаты;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Практика обладает практической значимостью для воспитательного процесса, в результате реализации практики могут быть решены значимые воспитательные задачи;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Практика может быть адаптирована для использования в других образовательных организациях;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Материалы представляют интерес для профессионального сообщества;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Паспорт практики оформлен с соблюдением всех требований, наличие приложений оправдано;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Профессиональная терминология использована уместно и грамотно.</w:t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и критерии оценки конкурсных испытаний финального этапа р</w:t>
      </w:r>
      <w:r>
        <w:rPr>
          <w:rStyle w:val="3"/>
          <w:bCs w:val="false"/>
          <w:color w:val="000000"/>
        </w:rPr>
        <w:t xml:space="preserve">еспубликанского конкурса профессионального мастерства работников </w:t>
      </w:r>
    </w:p>
    <w:p>
      <w:pPr>
        <w:pStyle w:val="Normal"/>
        <w:spacing w:lineRule="auto" w:line="240" w:before="0" w:after="0"/>
        <w:jc w:val="center"/>
        <w:rPr>
          <w:rStyle w:val="3"/>
          <w:bCs w:val="false"/>
          <w:color w:val="000000"/>
        </w:rPr>
      </w:pPr>
      <w:r>
        <w:rPr>
          <w:rStyle w:val="3"/>
          <w:bCs w:val="false"/>
          <w:color w:val="000000"/>
        </w:rPr>
        <w:t>сферы воспитания и дополнительного образования «Воспитать человека»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numPr>
          <w:ilvl w:val="1"/>
          <w:numId w:val="3"/>
        </w:numPr>
        <w:tabs>
          <w:tab w:val="clear" w:pos="708"/>
          <w:tab w:val="left" w:pos="0" w:leader="none"/>
          <w:tab w:val="left" w:pos="1134" w:leader="none"/>
        </w:tabs>
        <w:spacing w:lineRule="auto" w:line="240" w:before="0" w:after="120"/>
        <w:ind w:firstLine="709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Требования и критерии оценки конкурсного испытания                             «Публичное выступление + Блицопрос по вопросам воспитания»</w:t>
      </w:r>
    </w:p>
    <w:tbl>
      <w:tblPr>
        <w:tblStyle w:val="af2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98"/>
        <w:gridCol w:w="6906"/>
      </w:tblGrid>
      <w:tr>
        <w:trPr/>
        <w:tc>
          <w:tcPr>
            <w:tcW w:w="329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Требования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к содержанию Публичного выступления</w:t>
            </w:r>
          </w:p>
        </w:tc>
        <w:tc>
          <w:tcPr>
            <w:tcW w:w="69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Публичное индивидуальное выступление по одной из заданных тем Конкурса.</w:t>
            </w:r>
          </w:p>
        </w:tc>
      </w:tr>
      <w:tr>
        <w:trPr/>
        <w:tc>
          <w:tcPr>
            <w:tcW w:w="329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Критерии оценки Публичного выступления</w:t>
            </w:r>
          </w:p>
        </w:tc>
        <w:tc>
          <w:tcPr>
            <w:tcW w:w="69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Знание и понимание темы выступления;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Общая и профессиональная педагогическая эрудиция;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Владение риторическими навыками публичной деловой речи;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Креативность и оригинальность предложений;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Реалистичность и ответственность в суждениях;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Точность в представлении решений и выводов;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Аргументированность, обоснованность, логичность предложений;</w:t>
            </w:r>
          </w:p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sz w:val="24"/>
                <w:szCs w:val="24"/>
                <w:lang w:eastAsia="ru-RU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Деловая этика и культура.</w:t>
            </w:r>
          </w:p>
        </w:tc>
      </w:tr>
      <w:tr>
        <w:trPr/>
        <w:tc>
          <w:tcPr>
            <w:tcW w:w="329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Требования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к содержанию </w:t>
            </w: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Блицопроса по вопросам воспитания</w:t>
            </w:r>
          </w:p>
        </w:tc>
        <w:tc>
          <w:tcPr>
            <w:tcW w:w="69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Блицопрос по вопросам воспитания – это быстрый, краткий опрос, в рамках которого нужно дать моментальный, лаконичный ответ за ограниченное время на поставленные вопросы.</w:t>
            </w:r>
          </w:p>
        </w:tc>
      </w:tr>
      <w:tr>
        <w:trPr/>
        <w:tc>
          <w:tcPr>
            <w:tcW w:w="329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Критерии оценки Блицопроса по вопросам воспитания</w:t>
            </w:r>
          </w:p>
        </w:tc>
        <w:tc>
          <w:tcPr>
            <w:tcW w:w="69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Демонстрирует знание и понимание приоритетных направлений государственной политики в области воспитания;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Демонстрирует понимание основополагающей роли традиционных российских духовно-нравственных ценностей в воспитании подрастающего поколения;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Демонстрирует понимание обсуждаемых вопросов и свободное владение темой;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Рассматривает обсуждаемые вопросы с учетом интересов всех субъектов воспитания;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Демонстрирует позитивность мышления и жизненной позиции, убежденность в ценностных основаниях своей профессиональной деятельности, готовность к личностному росту и профессиональному развитию;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Демонстрирует знания из различных областей, кругозор, эрудицию;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Конкретно и полно отвечает на поставленный вопрос, не уклоняется от темы, избегает общих рассуждений;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Приводит аргументы с опорой на профессиональные знания и опыт, примеры из практики;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Не допускает орфоэпических, речевых и коммуникативных ошибок;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Style w:val="211pt"/>
                <w:rFonts w:eastAsia="Calibri" w:eastAsiaTheme="minorHAnsi"/>
                <w:sz w:val="24"/>
                <w:szCs w:val="24"/>
              </w:rPr>
            </w:pPr>
            <w:r>
              <w:rPr>
                <w:rStyle w:val="211pt"/>
                <w:rFonts w:eastAsia="Calibri" w:eastAsiaTheme="minorHAnsi"/>
                <w:kern w:val="0"/>
                <w:sz w:val="24"/>
                <w:szCs w:val="24"/>
              </w:rPr>
              <w:t>Демонстрирует эмоциональную устойчивость, уверенность в себе, способность к импровизации.</w:t>
            </w:r>
          </w:p>
        </w:tc>
      </w:tr>
    </w:tbl>
    <w:p>
      <w:pPr>
        <w:pStyle w:val="ListParagraph"/>
        <w:tabs>
          <w:tab w:val="clear" w:pos="708"/>
          <w:tab w:val="left" w:pos="1134" w:leader="none"/>
        </w:tabs>
        <w:spacing w:lineRule="auto" w:line="240" w:before="0" w:after="240"/>
        <w:ind w:left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  <w:r>
        <w:br w:type="page"/>
      </w:r>
    </w:p>
    <w:p>
      <w:pPr>
        <w:pStyle w:val="ListParagraph"/>
        <w:numPr>
          <w:ilvl w:val="1"/>
          <w:numId w:val="3"/>
        </w:numPr>
        <w:tabs>
          <w:tab w:val="clear" w:pos="708"/>
          <w:tab w:val="left" w:pos="1134" w:leader="none"/>
        </w:tabs>
        <w:spacing w:lineRule="auto" w:line="240" w:before="0" w:after="120"/>
        <w:ind w:hanging="357" w:left="714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и критерии оценки конкурсного испытания «Мастер-класс»</w:t>
      </w:r>
    </w:p>
    <w:tbl>
      <w:tblPr>
        <w:tblStyle w:val="af2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298"/>
        <w:gridCol w:w="6906"/>
      </w:tblGrid>
      <w:tr>
        <w:trPr/>
        <w:tc>
          <w:tcPr>
            <w:tcW w:w="329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shd w:fill="FFFFFF" w:val="clear"/>
                <w:lang w:val="ru-RU" w:eastAsia="ru-RU" w:bidi="ar-SA"/>
              </w:rPr>
              <w:t xml:space="preserve">Требования </w:t>
            </w: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к содержанию мастер-класса</w:t>
            </w:r>
          </w:p>
        </w:tc>
        <w:tc>
          <w:tcPr>
            <w:tcW w:w="69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kern w:val="0"/>
                <w:sz w:val="24"/>
                <w:szCs w:val="24"/>
                <w:lang w:val="ru-RU" w:eastAsia="ru-RU" w:bidi="ar-SA"/>
              </w:rPr>
              <w:t>Содержание и форма мастер-класса конкурсантом определяется самостоятельно. Допускается использование необходимых и целесообразных аудиовизуальных, презентационных, информационно-коммуникативных средств обучения для достижения целей мастер-класса. Участие помощников не допускается.</w:t>
            </w:r>
          </w:p>
        </w:tc>
      </w:tr>
      <w:tr>
        <w:trPr/>
        <w:tc>
          <w:tcPr>
            <w:tcW w:w="3298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shd w:fill="FFFFFF" w:val="clear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Критерии оценки мастер-класса</w:t>
            </w:r>
          </w:p>
        </w:tc>
        <w:tc>
          <w:tcPr>
            <w:tcW w:w="6906" w:type="dxa"/>
            <w:tcBorders/>
          </w:tcPr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Обосновывает актуальность представляемой практики и ее значимость для достижения целей воспитания;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Демонстрирует практическую направленность технологий, методов, приемов на достижение воспитательного результата;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Обозначает возможность тиражирования практики, предлагает конкретные рекомендации по ее использованию и адаптации к иным условиям;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Обосновывает результативность и значимость воспитательной практики для всех субъектов воспитания;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Демонстрирует умения в области передачи собственного опыта, владение приемами интерактивного и диалогового взаимодействия;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Точно и корректно использует профессиональную терминологию, не допускает речевых ошибок;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Использует оптимальный объем содержания, обеспечивает четкую структуру и хронометраж мастер-класса;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Оптимально использует средства наглядности, раздаточный материал и прочее;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Демонстрирует владение навыками публичного выступления, приемами привлечения внимания, артистизм;</w:t>
            </w:r>
          </w:p>
          <w:p>
            <w:pPr>
              <w:pStyle w:val="Normal"/>
              <w:widowControl w:val="false"/>
              <w:tabs>
                <w:tab w:val="clear" w:pos="708"/>
                <w:tab w:val="left" w:pos="317" w:leader="none"/>
              </w:tabs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kern w:val="0"/>
                <w:sz w:val="24"/>
                <w:szCs w:val="24"/>
                <w:lang w:val="ru-RU" w:bidi="ar-SA"/>
              </w:rPr>
              <w:t>Стимулирует интерес профессиональной аудитории, получает от аудитории позитивную обратную связь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3"/>
        </w:numPr>
        <w:tabs>
          <w:tab w:val="clear" w:pos="708"/>
          <w:tab w:val="left" w:pos="1134" w:leader="none"/>
        </w:tabs>
        <w:spacing w:lineRule="auto" w:line="240" w:before="0" w:after="120"/>
        <w:ind w:firstLine="709" w:left="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и критерии конкурсного испытания «Видеоподкаст о воспитании» (для номинаций «Воспитание классного коллектива» и «Воспитательные траектории детских общественных организаций, объединений»)</w:t>
      </w:r>
    </w:p>
    <w:tbl>
      <w:tblPr>
        <w:tblStyle w:val="af2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632"/>
        <w:gridCol w:w="7572"/>
      </w:tblGrid>
      <w:tr>
        <w:trPr/>
        <w:tc>
          <w:tcPr>
            <w:tcW w:w="263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содержанию конкурсного испытания</w:t>
            </w:r>
          </w:p>
        </w:tc>
        <w:tc>
          <w:tcPr>
            <w:tcW w:w="7572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Видеоролик создается участником на основании предложенных тем, актуальных в области воспитания. Видеоподкаст должен включать отношение участника к обозначенной проблеме и варианты улучшения ситуации/разрешения проблемы для государственной политики в сфере воспитания.</w:t>
            </w:r>
          </w:p>
        </w:tc>
      </w:tr>
      <w:tr>
        <w:trPr/>
        <w:tc>
          <w:tcPr>
            <w:tcW w:w="263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Критерии оценки импровизационного конкурса</w:t>
            </w:r>
          </w:p>
        </w:tc>
        <w:tc>
          <w:tcPr>
            <w:tcW w:w="7572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Содержание соответствует заданной теме;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Содержание соответствует государственной политике в области воспитания, основано на традиционных российских духовно-нравственных ценностях;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 видеоподкасте четко обозначена и аргументирована авторская позиция;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Автор демонстрирует профессиональные знания, кругозор, общую эрудицию;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Содержание обладает смысловой и композиционной целостностью;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Автор демонстрирует уместное использование приемов эмоционального воздействия на зрителя;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 xml:space="preserve">Речь автора является корректной и грамотной; 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Видеоподкаст соответствует требованиям конкурсного испытания;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В представленном видеоподкасте отмечается творческий подход в изложении материала;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Использованы хэштеги Конкурса</w:t>
            </w:r>
            <w:r>
              <w:rPr>
                <w:rStyle w:val="212pt"/>
                <w:rFonts w:eastAsia="Calibri" w:cs="Times New Roman"/>
                <w:color w:val="000000"/>
                <w:kern w:val="0"/>
                <w:lang w:val="ru-RU" w:bidi="ar-SA"/>
              </w:rPr>
              <w:t>.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ListParagraph"/>
        <w:numPr>
          <w:ilvl w:val="0"/>
          <w:numId w:val="3"/>
        </w:numPr>
        <w:spacing w:lineRule="auto" w:line="240" w:before="0" w:after="120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Требования и критерии конкурсного испытания «Работа над ошибками»</w:t>
      </w:r>
    </w:p>
    <w:tbl>
      <w:tblPr>
        <w:tblStyle w:val="af2"/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2632"/>
        <w:gridCol w:w="7572"/>
      </w:tblGrid>
      <w:tr>
        <w:trPr/>
        <w:tc>
          <w:tcPr>
            <w:tcW w:w="263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Требования к содержанию конкурсного испытания</w:t>
            </w:r>
          </w:p>
        </w:tc>
        <w:tc>
          <w:tcPr>
            <w:tcW w:w="7572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Участники анализируют кинофрагмент с точки зрения решения задач воспитания, выявляют ошибки, совершенные взрослым в воспитании детей, оценивают эффективность показанного воспитательного воздействия, аргументируют свои выводы и предлагают свой вариант решения воспитательной задачи.</w:t>
            </w:r>
          </w:p>
        </w:tc>
      </w:tr>
      <w:tr>
        <w:trPr/>
        <w:tc>
          <w:tcPr>
            <w:tcW w:w="2632" w:type="dxa"/>
            <w:tcBorders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bCs/>
                <w:color w:val="000000"/>
                <w:kern w:val="0"/>
                <w:sz w:val="24"/>
                <w:szCs w:val="24"/>
                <w:lang w:val="ru-RU" w:eastAsia="ru-RU" w:bidi="ar-SA"/>
              </w:rPr>
              <w:t>Критерии оценки импровизационного конкурса</w:t>
            </w:r>
          </w:p>
        </w:tc>
        <w:tc>
          <w:tcPr>
            <w:tcW w:w="7572" w:type="dxa"/>
            <w:tcBorders/>
            <w:vAlign w:val="bottom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Демонстрирует понимание представленной ситуации, четко формулирует проблему (проблемы);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Демонстрирует комплексный взгляд на проблему и способность рассматривать ее (их) с точки зрения различных субъектов воспитания;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Анализирует ситуацию с учетом всех заданных условий;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Предлагает реалистичное решение, адекватное всем условиям исходной ситуации;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Предлагает решение с прогнозированием рисков и трудностей его реализации;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Опирается на психолого-педагогические знания и практический опыт, оперирует достоверными фактами;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Опирается на традиционные духовно-нравственные ценности и традиционные приоритеты воспитания;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Демонстрирует уверенность, способность к импровизации, психологическую устойчивость;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Демонстрирует навыки публичного выступления;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fill="FFFFFF" w:val="clear"/>
              </w:rPr>
            </w:pPr>
            <w:r>
              <w:rPr>
                <w:rFonts w:eastAsia="Times New Roman" w:cs="Times New Roman" w:ascii="Times New Roman" w:hAnsi="Times New Roman"/>
                <w:color w:val="000000"/>
                <w:kern w:val="0"/>
                <w:sz w:val="24"/>
                <w:szCs w:val="24"/>
                <w:lang w:val="ru-RU" w:eastAsia="ru-RU" w:bidi="ar-SA"/>
              </w:rPr>
              <w:t>Не допускает орфоэпических, речевых и коммуникативных ошибок</w:t>
            </w:r>
            <w:r>
              <w:rPr>
                <w:rStyle w:val="212pt"/>
                <w:rFonts w:eastAsia="Calibri" w:cs="Times New Roman"/>
                <w:color w:val="000000"/>
                <w:kern w:val="0"/>
                <w:lang w:val="ru-RU" w:bidi="ar-SA"/>
              </w:rPr>
              <w:t>.</w:t>
            </w:r>
          </w:p>
        </w:tc>
      </w:tr>
    </w:tbl>
    <w:p>
      <w:pPr>
        <w:pStyle w:val="53"/>
        <w:shd w:val="clear" w:color="auto" w:fill="auto"/>
        <w:spacing w:lineRule="auto" w:line="240"/>
        <w:rPr/>
      </w:pPr>
      <w:r>
        <w:rPr/>
      </w:r>
    </w:p>
    <w:p>
      <w:pPr>
        <w:pStyle w:val="53"/>
        <w:shd w:val="clear" w:color="auto" w:fill="auto"/>
        <w:spacing w:lineRule="auto" w:line="240"/>
        <w:rPr/>
      </w:pPr>
      <w:r>
        <w:rPr/>
      </w:r>
    </w:p>
    <w:p>
      <w:pPr>
        <w:pStyle w:val="53"/>
        <w:shd w:val="clear" w:color="auto" w:fill="auto"/>
        <w:spacing w:lineRule="auto" w:line="240"/>
        <w:rPr/>
      </w:pPr>
      <w:r>
        <w:rPr/>
      </w:r>
    </w:p>
    <w:p>
      <w:pPr>
        <w:pStyle w:val="53"/>
        <w:shd w:val="clear" w:color="auto" w:fill="auto"/>
        <w:spacing w:lineRule="auto" w:line="240"/>
        <w:rPr/>
      </w:pPr>
      <w:r>
        <w:rPr/>
      </w:r>
      <w:r>
        <w:br w:type="page"/>
      </w:r>
    </w:p>
    <w:p>
      <w:pPr>
        <w:pStyle w:val="53"/>
        <w:shd w:val="clear" w:color="auto" w:fill="auto"/>
        <w:spacing w:lineRule="auto" w:line="240" w:before="0" w:after="0"/>
        <w:ind w:left="5720"/>
        <w:rPr>
          <w:sz w:val="24"/>
          <w:szCs w:val="24"/>
        </w:rPr>
      </w:pPr>
      <w:r>
        <w:rPr>
          <w:sz w:val="24"/>
          <w:szCs w:val="24"/>
        </w:rPr>
        <w:t>Приложение 3</w:t>
      </w:r>
    </w:p>
    <w:p>
      <w:pPr>
        <w:pStyle w:val="Normal"/>
        <w:spacing w:lineRule="auto" w:line="240"/>
        <w:ind w:left="572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к Положению о Республиканском конкурсе профессионального мастерства работников сферы воспитания и дополнительного образования «Воспитать человека»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12"/>
        <w:spacing w:lineRule="auto" w:line="276" w:before="0" w:after="360"/>
        <w:ind w:hanging="0"/>
        <w:jc w:val="center"/>
        <w:rPr>
          <w:b/>
          <w:i/>
          <w:i/>
          <w:iCs/>
        </w:rPr>
      </w:pPr>
      <w:r>
        <w:rPr>
          <w:b/>
          <w:i/>
          <w:iCs/>
        </w:rPr>
        <w:t>Шаблон оформления Паспорта воспитательной практики</w:t>
      </w:r>
    </w:p>
    <w:p>
      <w:pPr>
        <w:pStyle w:val="13"/>
        <w:keepNext w:val="true"/>
        <w:keepLines/>
        <w:spacing w:before="0" w:after="360"/>
        <w:rPr/>
      </w:pPr>
      <w:bookmarkStart w:id="0" w:name="bookmark39"/>
      <w:r>
        <w:rPr/>
        <w:t xml:space="preserve">МИНИСТЕРСТВО ОБРАЗОВАНИЯ И НАУКИ РЕСПУБЛИКИ ТАТАРСТАН </w:t>
      </w:r>
      <w:bookmarkEnd w:id="0"/>
    </w:p>
    <w:p>
      <w:pPr>
        <w:pStyle w:val="12"/>
        <w:spacing w:lineRule="auto" w:line="276"/>
        <w:ind w:hanging="0"/>
        <w:jc w:val="center"/>
        <w:rPr/>
      </w:pPr>
      <w:r>
        <w:rPr/>
        <w:t>Республиканский конкурс профессионального мастерства работников сферы воспитания и дополнительного образования «Воспитать человека»</w:t>
      </w:r>
    </w:p>
    <w:p>
      <w:pPr>
        <w:pStyle w:val="12"/>
        <w:spacing w:lineRule="auto" w:line="276"/>
        <w:ind w:hanging="0"/>
        <w:jc w:val="center"/>
        <w:rPr/>
      </w:pPr>
      <w:r>
        <w:rPr/>
      </w:r>
    </w:p>
    <w:p>
      <w:pPr>
        <w:pStyle w:val="12"/>
        <w:spacing w:lineRule="auto" w:line="276"/>
        <w:ind w:hanging="0"/>
        <w:jc w:val="center"/>
        <w:rPr/>
      </w:pPr>
      <w:r>
        <w:rPr/>
        <w:t>Номинация «________________________________________»</w:t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  <w:t>ПАСПОРТ ВОСПИТАТЕЛЬНОЙ ПРАКТИКИ</w:t>
        <w:br/>
        <w:t>«________________________________________»</w:t>
      </w:r>
    </w:p>
    <w:p>
      <w:pPr>
        <w:pStyle w:val="12"/>
        <w:spacing w:lineRule="auto" w:line="276"/>
        <w:ind w:hanging="0"/>
        <w:jc w:val="center"/>
        <w:rPr>
          <w:sz w:val="20"/>
          <w:szCs w:val="20"/>
        </w:rPr>
      </w:pPr>
      <w:r>
        <w:rPr>
          <w:bCs/>
          <w:sz w:val="20"/>
          <w:szCs w:val="20"/>
        </w:rPr>
        <w:t>название</w:t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  <w:t xml:space="preserve">Автор воспитательной практики: педагог-организатор </w:t>
      </w:r>
    </w:p>
    <w:p>
      <w:pPr>
        <w:pStyle w:val="12"/>
        <w:spacing w:lineRule="auto" w:line="276"/>
        <w:ind w:hanging="0" w:left="5620" w:right="160"/>
        <w:jc w:val="right"/>
        <w:rPr>
          <w:b/>
          <w:bCs/>
        </w:rPr>
      </w:pPr>
      <w:r>
        <w:rPr>
          <w:b/>
          <w:bCs/>
        </w:rPr>
        <w:t xml:space="preserve">МБОУ СОШ № 1 Вахитовского района г. Казани </w:t>
      </w:r>
    </w:p>
    <w:p>
      <w:pPr>
        <w:pStyle w:val="12"/>
        <w:spacing w:lineRule="auto" w:line="276"/>
        <w:ind w:hanging="0" w:left="5620" w:right="160"/>
        <w:jc w:val="right"/>
        <w:rPr>
          <w:highlight w:val="yellow"/>
        </w:rPr>
      </w:pPr>
      <w:r>
        <w:rPr>
          <w:b/>
          <w:bCs/>
        </w:rPr>
        <w:t>ФИО (последнее при наличии)</w:t>
      </w:r>
    </w:p>
    <w:p>
      <w:pPr>
        <w:pStyle w:val="12"/>
        <w:spacing w:lineRule="auto" w:line="276"/>
        <w:ind w:hanging="0"/>
        <w:jc w:val="center"/>
        <w:rPr>
          <w:b/>
          <w:bCs/>
          <w:highlight w:val="yellow"/>
        </w:rPr>
      </w:pPr>
      <w:r>
        <w:rPr>
          <w:b/>
          <w:bCs/>
          <w:highlight w:val="yellow"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  <w:t>г. Казань</w:t>
      </w:r>
    </w:p>
    <w:p>
      <w:pPr>
        <w:pStyle w:val="12"/>
        <w:spacing w:lineRule="auto" w:line="276"/>
        <w:ind w:hanging="0"/>
        <w:jc w:val="center"/>
        <w:rPr>
          <w:b/>
          <w:bCs/>
        </w:rPr>
      </w:pPr>
      <w:r>
        <w:rPr>
          <w:b/>
          <w:bCs/>
        </w:rPr>
        <w:t>2026</w:t>
      </w:r>
    </w:p>
    <w:tbl>
      <w:tblPr>
        <w:tblStyle w:val="af2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461"/>
        <w:gridCol w:w="6733"/>
      </w:tblGrid>
      <w:tr>
        <w:trPr>
          <w:trHeight w:val="698" w:hRule="atLeast"/>
        </w:trPr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Полное название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ФИО (последнее при наличии), должность и наименование образовательной организации авторов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Аннотация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Ключевые слова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Актуальность внедрения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Цель и задачи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Цель: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Задачи: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3.</w:t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Целевая аудитория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Краткий анализ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Представлен в приложении № 1 к Паспорту воспитательной практики</w:t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Технологии и методы реализации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Ресурсы, необходимые для реализации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Период реализации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Период: _______________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В приложении № 2 к Паспорту воспитательной практики представлен план-график реализации воспитательной практики по Диаграмме Ганта</w:t>
              <w:tab/>
            </w:r>
          </w:p>
        </w:tc>
      </w:tr>
      <w:tr>
        <w:trPr/>
        <w:tc>
          <w:tcPr>
            <w:tcW w:w="3461" w:type="dxa"/>
            <w:tcBorders/>
          </w:tcPr>
          <w:p>
            <w:pPr>
              <w:pStyle w:val="Normal"/>
              <w:widowControl/>
              <w:suppressAutoHyphens w:val="true"/>
              <w:spacing w:lineRule="auto" w:line="240" w:before="0" w:after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eastAsia="Calibri" w:cs="Times New Roman" w:ascii="Times New Roman" w:hAnsi="Times New Roman"/>
                <w:kern w:val="0"/>
                <w:sz w:val="28"/>
                <w:szCs w:val="28"/>
                <w:lang w:val="ru-RU" w:bidi="ar-SA"/>
              </w:rPr>
              <w:t>Ожидаемые результаты воспитательной практики</w:t>
            </w:r>
          </w:p>
        </w:tc>
        <w:tc>
          <w:tcPr>
            <w:tcW w:w="673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  <w:tr>
        <w:trPr/>
        <w:tc>
          <w:tcPr>
            <w:tcW w:w="10194" w:type="dxa"/>
            <w:gridSpan w:val="2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Описание воспитательной практики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left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</w:r>
          </w:p>
        </w:tc>
      </w:tr>
    </w:tbl>
    <w:p>
      <w:pPr>
        <w:pStyle w:val="Style20"/>
        <w:jc w:val="right"/>
        <w:rPr>
          <w:sz w:val="24"/>
          <w:szCs w:val="28"/>
        </w:rPr>
      </w:pPr>
      <w:r>
        <w:rPr>
          <w:sz w:val="24"/>
          <w:szCs w:val="28"/>
        </w:rPr>
        <w:t>Приложение № 1</w:t>
      </w:r>
    </w:p>
    <w:p>
      <w:pPr>
        <w:pStyle w:val="Style20"/>
        <w:jc w:val="right"/>
        <w:rPr>
          <w:sz w:val="24"/>
          <w:szCs w:val="28"/>
        </w:rPr>
      </w:pPr>
      <w:r>
        <w:rPr>
          <w:sz w:val="24"/>
          <w:szCs w:val="28"/>
        </w:rPr>
        <w:t>к Паспорту воспитательной практики</w:t>
      </w:r>
    </w:p>
    <w:p>
      <w:pPr>
        <w:pStyle w:val="12"/>
        <w:spacing w:lineRule="auto" w:line="240"/>
        <w:ind w:hanging="0"/>
        <w:jc w:val="right"/>
        <w:rPr>
          <w:b/>
        </w:rPr>
      </w:pPr>
      <w:r>
        <w:rPr>
          <w:b/>
        </w:rPr>
      </w:r>
    </w:p>
    <w:p>
      <w:pPr>
        <w:pStyle w:val="12"/>
        <w:spacing w:lineRule="auto" w:line="240"/>
        <w:ind w:hanging="0"/>
        <w:jc w:val="center"/>
        <w:rPr>
          <w:b/>
        </w:rPr>
      </w:pPr>
      <w:r>
        <w:rPr>
          <w:b/>
        </w:rPr>
      </w:r>
    </w:p>
    <w:p>
      <w:pPr>
        <w:pStyle w:val="12"/>
        <w:spacing w:lineRule="auto" w:line="240"/>
        <w:ind w:hanging="0"/>
        <w:jc w:val="center"/>
        <w:rPr>
          <w:b/>
        </w:rPr>
      </w:pPr>
      <w:r>
        <w:rPr>
          <w:b/>
        </w:rPr>
        <w:t>Краткий анализ воспитательной практики</w:t>
      </w:r>
    </w:p>
    <w:p>
      <w:pPr>
        <w:pStyle w:val="12"/>
        <w:spacing w:lineRule="auto" w:line="240"/>
        <w:ind w:hanging="0"/>
        <w:jc w:val="center"/>
        <w:rPr>
          <w:b/>
        </w:rPr>
      </w:pPr>
      <w:r>
        <w:rPr>
          <w:b/>
        </w:rPr>
        <w:t>«____________________________________»</w:t>
      </w:r>
    </w:p>
    <w:p>
      <w:pPr>
        <w:pStyle w:val="12"/>
        <w:spacing w:lineRule="auto" w:line="240"/>
        <w:ind w:hanging="0"/>
        <w:jc w:val="center"/>
        <w:rPr>
          <w:sz w:val="20"/>
          <w:szCs w:val="20"/>
        </w:rPr>
      </w:pPr>
      <w:r>
        <w:rPr>
          <w:sz w:val="20"/>
          <w:szCs w:val="20"/>
        </w:rPr>
        <w:t>название практики</w:t>
      </w:r>
    </w:p>
    <w:p>
      <w:pPr>
        <w:pStyle w:val="12"/>
        <w:spacing w:lineRule="auto" w:line="240"/>
        <w:ind w:firstLine="709"/>
        <w:jc w:val="both"/>
        <w:rPr/>
      </w:pPr>
      <w:r>
        <w:rPr/>
      </w:r>
    </w:p>
    <w:p>
      <w:pPr>
        <w:pStyle w:val="12"/>
        <w:spacing w:lineRule="auto" w:line="240"/>
        <w:ind w:firstLine="709"/>
        <w:jc w:val="both"/>
        <w:rPr/>
      </w:pPr>
      <w:r>
        <w:rPr/>
      </w:r>
    </w:p>
    <w:p>
      <w:pPr>
        <w:pStyle w:val="12"/>
        <w:spacing w:lineRule="auto" w:line="240"/>
        <w:ind w:firstLine="709"/>
        <w:jc w:val="both"/>
        <w:rPr/>
      </w:pPr>
      <w:r>
        <w:rPr/>
        <w:t>В данном документе необходимо отразить параметры, характеризующие воспитательную практику, а именно: сильные и слабые стороны, возможности, которые открываются при осуществлении воспитательной практики, а также риски ее реализации.</w:t>
      </w:r>
    </w:p>
    <w:p>
      <w:pPr>
        <w:pStyle w:val="12"/>
        <w:spacing w:lineRule="auto" w:line="240"/>
        <w:ind w:firstLine="709"/>
        <w:jc w:val="both"/>
        <w:rPr/>
      </w:pPr>
      <w:r>
        <w:rPr/>
        <w:t>На основании данного документа должно быть сформировано полное представление о внедрении проекта в образовательный процесс.</w:t>
      </w:r>
    </w:p>
    <w:p>
      <w:pPr>
        <w:pStyle w:val="12"/>
        <w:spacing w:lineRule="auto" w:line="240"/>
        <w:ind w:firstLine="709"/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12"/>
        <w:spacing w:lineRule="auto" w:line="240"/>
        <w:ind w:firstLine="709"/>
        <w:jc w:val="both"/>
        <w:rPr/>
      </w:pPr>
      <w:r>
        <w:rPr>
          <w:b/>
          <w:i/>
        </w:rPr>
        <w:t>(При составлении анализа для своей воспитательной практики необходимо удалить данное описание)</w:t>
      </w:r>
    </w:p>
    <w:p>
      <w:pPr>
        <w:pStyle w:val="12"/>
        <w:spacing w:lineRule="auto" w:line="240"/>
        <w:ind w:hanging="0"/>
        <w:jc w:val="both"/>
        <w:rPr/>
      </w:pPr>
      <w:r>
        <w:rPr/>
      </w:r>
    </w:p>
    <w:tbl>
      <w:tblPr>
        <w:tblStyle w:val="af2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93"/>
        <w:gridCol w:w="5101"/>
      </w:tblGrid>
      <w:tr>
        <w:trPr/>
        <w:tc>
          <w:tcPr>
            <w:tcW w:w="509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Внутренние факторы</w:t>
            </w:r>
          </w:p>
        </w:tc>
        <w:tc>
          <w:tcPr>
            <w:tcW w:w="51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b/>
              </w:rPr>
            </w:pPr>
            <w:r>
              <w:rPr>
                <w:b/>
                <w:kern w:val="0"/>
                <w:lang w:val="ru-RU" w:bidi="ar-SA"/>
              </w:rPr>
              <w:t>Внешние факторы</w:t>
            </w:r>
          </w:p>
        </w:tc>
      </w:tr>
      <w:tr>
        <w:trPr/>
        <w:tc>
          <w:tcPr>
            <w:tcW w:w="509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i/>
                <w:i/>
              </w:rPr>
            </w:pPr>
            <w:r>
              <w:rPr>
                <w:i/>
                <w:kern w:val="0"/>
                <w:lang w:val="ru-RU" w:bidi="ar-SA"/>
              </w:rPr>
              <w:t>Сильные стороны</w:t>
            </w:r>
          </w:p>
        </w:tc>
        <w:tc>
          <w:tcPr>
            <w:tcW w:w="51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i/>
                <w:i/>
              </w:rPr>
            </w:pPr>
            <w:r>
              <w:rPr>
                <w:i/>
                <w:kern w:val="0"/>
                <w:lang w:val="ru-RU" w:bidi="ar-SA"/>
              </w:rPr>
              <w:t>Возможности</w:t>
            </w:r>
          </w:p>
        </w:tc>
      </w:tr>
      <w:tr>
        <w:trPr/>
        <w:tc>
          <w:tcPr>
            <w:tcW w:w="509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</w:tc>
        <w:tc>
          <w:tcPr>
            <w:tcW w:w="51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</w:tc>
      </w:tr>
      <w:tr>
        <w:trPr/>
        <w:tc>
          <w:tcPr>
            <w:tcW w:w="509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i/>
                <w:i/>
              </w:rPr>
            </w:pPr>
            <w:r>
              <w:rPr>
                <w:i/>
                <w:kern w:val="0"/>
                <w:lang w:val="ru-RU" w:bidi="ar-SA"/>
              </w:rPr>
              <w:t>Слабые стороны</w:t>
            </w:r>
          </w:p>
        </w:tc>
        <w:tc>
          <w:tcPr>
            <w:tcW w:w="51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i/>
                <w:i/>
              </w:rPr>
            </w:pPr>
            <w:r>
              <w:rPr>
                <w:i/>
                <w:kern w:val="0"/>
                <w:lang w:val="ru-RU" w:bidi="ar-SA"/>
              </w:rPr>
              <w:t>Риски</w:t>
            </w:r>
          </w:p>
        </w:tc>
      </w:tr>
      <w:tr>
        <w:trPr/>
        <w:tc>
          <w:tcPr>
            <w:tcW w:w="5093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</w:tc>
        <w:tc>
          <w:tcPr>
            <w:tcW w:w="51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1.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2.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3.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kern w:val="0"/>
                <w:lang w:val="ru-RU" w:bidi="ar-SA"/>
              </w:rPr>
            </w:pPr>
            <w:r>
              <w:rPr>
                <w:kern w:val="0"/>
                <w:lang w:val="ru-RU" w:bidi="ar-SA"/>
              </w:rPr>
              <w:t>.</w:t>
            </w:r>
          </w:p>
        </w:tc>
      </w:tr>
    </w:tbl>
    <w:p>
      <w:pPr>
        <w:pStyle w:val="12"/>
        <w:spacing w:lineRule="auto" w:line="240"/>
        <w:ind w:hanging="0"/>
        <w:jc w:val="both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Style20"/>
        <w:jc w:val="right"/>
        <w:rPr>
          <w:sz w:val="24"/>
          <w:szCs w:val="28"/>
        </w:rPr>
      </w:pPr>
      <w:r>
        <w:rPr>
          <w:sz w:val="24"/>
          <w:szCs w:val="28"/>
        </w:rPr>
        <w:t>Приложение № 2</w:t>
      </w:r>
    </w:p>
    <w:p>
      <w:pPr>
        <w:pStyle w:val="Style20"/>
        <w:jc w:val="right"/>
        <w:rPr>
          <w:sz w:val="24"/>
          <w:szCs w:val="28"/>
        </w:rPr>
      </w:pPr>
      <w:r>
        <w:rPr>
          <w:sz w:val="24"/>
          <w:szCs w:val="28"/>
        </w:rPr>
        <w:t>к Паспорту воспитательной практики</w:t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>
          <w:b/>
        </w:rPr>
      </w:pPr>
      <w:r>
        <w:rPr>
          <w:b/>
        </w:rPr>
        <w:t xml:space="preserve">План-график реализации воспитательной практики </w:t>
      </w:r>
    </w:p>
    <w:p>
      <w:pPr>
        <w:pStyle w:val="12"/>
        <w:spacing w:lineRule="auto" w:line="240"/>
        <w:ind w:hanging="0"/>
        <w:jc w:val="center"/>
        <w:rPr>
          <w:b/>
        </w:rPr>
      </w:pPr>
      <w:r>
        <w:rPr>
          <w:b/>
        </w:rPr>
        <w:t>«____________________________________»</w:t>
      </w:r>
    </w:p>
    <w:p>
      <w:pPr>
        <w:pStyle w:val="12"/>
        <w:spacing w:lineRule="auto" w:line="240"/>
        <w:ind w:hanging="0"/>
        <w:jc w:val="center"/>
        <w:rPr>
          <w:sz w:val="20"/>
          <w:szCs w:val="20"/>
        </w:rPr>
      </w:pPr>
      <w:r>
        <w:rPr>
          <w:sz w:val="20"/>
          <w:szCs w:val="20"/>
        </w:rPr>
        <w:t>название практики</w:t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firstLine="851"/>
        <w:jc w:val="both"/>
        <w:rPr/>
      </w:pPr>
      <w:r>
        <w:rPr/>
        <w:t>*</w:t>
        <w:tab/>
        <w:t>К числу наиболее распространенных форм наглядного представления этапов реализации воспитательной практики относится так называемая «ленточная диаграмма» или диаграмма Ганта. По внешнему виду диаграмма Ганта представляет собой размещенный в прямоугольной системе координат набор полос («лент»), местоположение и длина которых соответствуют временным параметрам отдельных элементов (фаз, шагов, задач).</w:t>
      </w:r>
    </w:p>
    <w:p>
      <w:pPr>
        <w:pStyle w:val="12"/>
        <w:spacing w:lineRule="auto" w:line="240"/>
        <w:ind w:firstLine="851"/>
        <w:jc w:val="both"/>
        <w:rPr/>
      </w:pPr>
      <w:r>
        <w:rPr/>
        <w:t>*</w:t>
        <w:tab/>
        <w:t>Серым цветом в диаграмме наглядно показано, в какой период будет реализован определенный шаг/этап/задача.</w:t>
      </w:r>
    </w:p>
    <w:p>
      <w:pPr>
        <w:pStyle w:val="12"/>
        <w:spacing w:lineRule="auto" w:line="240"/>
        <w:ind w:firstLine="851"/>
        <w:jc w:val="both"/>
        <w:rPr>
          <w:b/>
          <w:i/>
          <w:i/>
        </w:rPr>
      </w:pPr>
      <w:r>
        <w:rPr>
          <w:b/>
          <w:i/>
        </w:rPr>
      </w:r>
    </w:p>
    <w:p>
      <w:pPr>
        <w:pStyle w:val="12"/>
        <w:spacing w:lineRule="auto" w:line="240"/>
        <w:ind w:firstLine="851"/>
        <w:jc w:val="both"/>
        <w:rPr/>
      </w:pPr>
      <w:r>
        <w:rPr>
          <w:b/>
          <w:i/>
        </w:rPr>
        <w:t>(При составлении диаграммы Ганта для своей воспитательной практики необходимо удалить данное описание)</w:t>
      </w:r>
    </w:p>
    <w:p>
      <w:pPr>
        <w:pStyle w:val="12"/>
        <w:spacing w:lineRule="auto" w:line="240"/>
        <w:ind w:hanging="0"/>
        <w:jc w:val="both"/>
        <w:rPr/>
      </w:pPr>
      <w:r>
        <w:rPr/>
      </w:r>
    </w:p>
    <w:tbl>
      <w:tblPr>
        <w:tblStyle w:val="af2"/>
        <w:tblW w:w="1019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502"/>
        <w:gridCol w:w="1529"/>
        <w:gridCol w:w="1401"/>
        <w:gridCol w:w="968"/>
        <w:gridCol w:w="964"/>
        <w:gridCol w:w="968"/>
        <w:gridCol w:w="964"/>
        <w:gridCol w:w="968"/>
        <w:gridCol w:w="964"/>
        <w:gridCol w:w="966"/>
      </w:tblGrid>
      <w:tr>
        <w:trPr/>
        <w:tc>
          <w:tcPr>
            <w:tcW w:w="502" w:type="dxa"/>
            <w:vMerge w:val="restart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№</w:t>
            </w:r>
          </w:p>
        </w:tc>
        <w:tc>
          <w:tcPr>
            <w:tcW w:w="1529" w:type="dxa"/>
            <w:vMerge w:val="restart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Наименование этапа</w:t>
            </w:r>
          </w:p>
        </w:tc>
        <w:tc>
          <w:tcPr>
            <w:tcW w:w="1401" w:type="dxa"/>
            <w:vMerge w:val="restart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Длительность</w:t>
            </w:r>
          </w:p>
        </w:tc>
        <w:tc>
          <w:tcPr>
            <w:tcW w:w="6762" w:type="dxa"/>
            <w:gridSpan w:val="7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Временные рамки проекта (может указываться в днях, месяцах)</w:t>
            </w:r>
          </w:p>
        </w:tc>
      </w:tr>
      <w:tr>
        <w:trPr/>
        <w:tc>
          <w:tcPr>
            <w:tcW w:w="502" w:type="dxa"/>
            <w:vMerge w:val="continue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529" w:type="dxa"/>
            <w:vMerge w:val="continue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1401" w:type="dxa"/>
            <w:vMerge w:val="continue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Период 1</w:t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Период 2</w:t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Период 3</w:t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Период 4</w:t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Период 5</w:t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Период 6</w:t>
            </w:r>
          </w:p>
        </w:tc>
        <w:tc>
          <w:tcPr>
            <w:tcW w:w="966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  <w:lang w:val="ru-RU" w:bidi="ar-SA"/>
              </w:rPr>
              <w:t>Период 7</w:t>
            </w:r>
          </w:p>
        </w:tc>
      </w:tr>
      <w:tr>
        <w:trPr/>
        <w:tc>
          <w:tcPr>
            <w:tcW w:w="502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1.</w:t>
            </w:r>
          </w:p>
        </w:tc>
        <w:tc>
          <w:tcPr>
            <w:tcW w:w="1529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Шаг, этап, задача </w:t>
            </w:r>
          </w:p>
        </w:tc>
        <w:tc>
          <w:tcPr>
            <w:tcW w:w="14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 недели</w:t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6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502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2.</w:t>
            </w:r>
          </w:p>
        </w:tc>
        <w:tc>
          <w:tcPr>
            <w:tcW w:w="1529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Шаг, этап, задача </w:t>
            </w:r>
          </w:p>
        </w:tc>
        <w:tc>
          <w:tcPr>
            <w:tcW w:w="14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кол-во дней/ недель</w:t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6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502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3.</w:t>
            </w:r>
          </w:p>
        </w:tc>
        <w:tc>
          <w:tcPr>
            <w:tcW w:w="1529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 xml:space="preserve">Шаг, этап, задача </w:t>
            </w:r>
          </w:p>
        </w:tc>
        <w:tc>
          <w:tcPr>
            <w:tcW w:w="14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center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  <w:t>кол-во дней/ недель</w:t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6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502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529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6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502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529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6" w:type="dxa"/>
            <w:tcBorders/>
            <w:shd w:color="auto" w:fill="D9D9D9" w:themeFill="background1" w:themeFillShade="d9" w:val="clear"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  <w:tr>
        <w:trPr/>
        <w:tc>
          <w:tcPr>
            <w:tcW w:w="502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529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1401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8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4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  <w:tc>
          <w:tcPr>
            <w:tcW w:w="966" w:type="dxa"/>
            <w:tcBorders/>
          </w:tcPr>
          <w:p>
            <w:pPr>
              <w:pStyle w:val="12"/>
              <w:suppressAutoHyphens w:val="true"/>
              <w:spacing w:lineRule="auto" w:line="240" w:before="0" w:after="0"/>
              <w:ind w:hanging="0"/>
              <w:jc w:val="both"/>
              <w:rPr>
                <w:sz w:val="24"/>
                <w:szCs w:val="24"/>
              </w:rPr>
            </w:pPr>
            <w:r>
              <w:rPr>
                <w:kern w:val="0"/>
                <w:sz w:val="24"/>
                <w:szCs w:val="24"/>
                <w:lang w:val="ru-RU" w:bidi="ar-SA"/>
              </w:rPr>
            </w:r>
          </w:p>
        </w:tc>
      </w:tr>
    </w:tbl>
    <w:p>
      <w:pPr>
        <w:pStyle w:val="12"/>
        <w:spacing w:lineRule="auto" w:line="240"/>
        <w:ind w:hanging="0"/>
        <w:jc w:val="both"/>
        <w:rPr/>
      </w:pPr>
      <w:r>
        <w:rPr/>
      </w:r>
    </w:p>
    <w:p>
      <w:pPr>
        <w:pStyle w:val="12"/>
        <w:spacing w:lineRule="auto" w:line="240"/>
        <w:ind w:firstLine="851"/>
        <w:jc w:val="both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Style20"/>
        <w:jc w:val="right"/>
        <w:rPr>
          <w:sz w:val="24"/>
          <w:szCs w:val="28"/>
        </w:rPr>
      </w:pPr>
      <w:r>
        <w:rPr>
          <w:sz w:val="24"/>
          <w:szCs w:val="28"/>
        </w:rPr>
        <w:t>Приложение № 3</w:t>
      </w:r>
    </w:p>
    <w:p>
      <w:pPr>
        <w:pStyle w:val="Style20"/>
        <w:jc w:val="right"/>
        <w:rPr>
          <w:sz w:val="24"/>
          <w:szCs w:val="28"/>
        </w:rPr>
      </w:pPr>
      <w:r>
        <w:rPr>
          <w:sz w:val="24"/>
          <w:szCs w:val="28"/>
        </w:rPr>
        <w:t>к Паспорту воспитательной практики</w:t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firstLine="709"/>
        <w:jc w:val="both"/>
        <w:rPr/>
      </w:pPr>
      <w:r>
        <w:rPr/>
        <w:t>*</w:t>
        <w:tab/>
        <w:t>В данное Приложение необходимо вставить все материалы, которые необходимы для реализации воспитательной практики (тесты, исследования, картинки ссылки на сайты и пр.).</w:t>
      </w:r>
    </w:p>
    <w:p>
      <w:pPr>
        <w:pStyle w:val="12"/>
        <w:spacing w:lineRule="auto" w:line="240"/>
        <w:ind w:firstLine="709"/>
        <w:jc w:val="both"/>
        <w:rPr/>
      </w:pPr>
      <w:r>
        <w:rPr/>
      </w:r>
    </w:p>
    <w:p>
      <w:pPr>
        <w:pStyle w:val="12"/>
        <w:spacing w:lineRule="auto" w:line="240"/>
        <w:ind w:firstLine="709"/>
        <w:jc w:val="both"/>
        <w:rPr>
          <w:b/>
          <w:i/>
          <w:i/>
        </w:rPr>
      </w:pPr>
      <w:r>
        <w:rPr>
          <w:b/>
          <w:i/>
        </w:rPr>
        <w:t>(При оформлении Приложения для своей воспитательной практики необходимо удалить данное описание)</w:t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12"/>
        <w:spacing w:lineRule="auto" w:line="240"/>
        <w:ind w:hanging="0"/>
        <w:jc w:val="center"/>
        <w:rPr/>
      </w:pPr>
      <w:r>
        <w:rPr/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53"/>
        <w:shd w:val="clear" w:color="auto" w:fill="auto"/>
        <w:spacing w:lineRule="auto" w:line="240"/>
        <w:ind w:left="5720"/>
        <w:rPr>
          <w:sz w:val="24"/>
        </w:rPr>
      </w:pPr>
      <w:r>
        <w:rPr>
          <w:sz w:val="24"/>
        </w:rPr>
        <w:t>Приложение 4</w:t>
      </w:r>
    </w:p>
    <w:p>
      <w:pPr>
        <w:pStyle w:val="Normal"/>
        <w:spacing w:lineRule="auto" w:line="240" w:before="0" w:after="0"/>
        <w:ind w:left="5720" w:right="-1"/>
        <w:rPr>
          <w:rFonts w:ascii="Times New Roman" w:hAnsi="Times New Roman" w:eastAsia="Calibri" w:cs="Times New Roman"/>
          <w:sz w:val="24"/>
          <w:szCs w:val="28"/>
        </w:rPr>
      </w:pPr>
      <w:r>
        <w:rPr>
          <w:rFonts w:cs="Times New Roman" w:ascii="Times New Roman" w:hAnsi="Times New Roman"/>
          <w:sz w:val="24"/>
          <w:szCs w:val="28"/>
        </w:rPr>
        <w:t>к Положению о республиканском конкурсе профессионального мастерства работников сферы воспитания и дополнительного образования «Воспитать человека»</w:t>
      </w:r>
    </w:p>
    <w:p>
      <w:pPr>
        <w:pStyle w:val="Normal"/>
        <w:spacing w:lineRule="auto" w:line="240" w:before="0" w:after="0"/>
        <w:ind w:left="6663" w:right="-1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Распределение муниципальных образований и место проведения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зональных этапов р</w:t>
      </w:r>
      <w:r>
        <w:rPr>
          <w:rFonts w:eastAsia="Times New Roman" w:cs="Times New Roman" w:ascii="Times New Roman" w:hAnsi="Times New Roman"/>
          <w:b/>
          <w:sz w:val="28"/>
          <w:szCs w:val="28"/>
        </w:rPr>
        <w:t xml:space="preserve">еспубликанского конкурса профессионального мастерства работников сферы воспитания и дополнительного образования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eastAsia="Times New Roman" w:cs="Times New Roman" w:ascii="Times New Roman" w:hAnsi="Times New Roman"/>
          <w:b/>
          <w:sz w:val="28"/>
          <w:szCs w:val="28"/>
        </w:rPr>
        <w:t>«Воспитать человека»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noHBand="0" w:noVBand="1" w:firstColumn="1" w:lastRow="0" w:lastColumn="0" w:firstRow="1"/>
      </w:tblPr>
      <w:tblGrid>
        <w:gridCol w:w="3070"/>
        <w:gridCol w:w="2804"/>
        <w:gridCol w:w="2014"/>
        <w:gridCol w:w="2316"/>
      </w:tblGrid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Входящие территории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Количество конкурсантов, направляемых на зональный этап Конкурса</w:t>
            </w:r>
          </w:p>
        </w:tc>
        <w:tc>
          <w:tcPr>
            <w:tcW w:w="20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Количество участников, направляемых на финальный этап Конкурса</w:t>
            </w:r>
          </w:p>
        </w:tc>
        <w:tc>
          <w:tcPr>
            <w:tcW w:w="23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  <w:t>Место проведения зонального этапа</w:t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1 зона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 место в муниципальном этапе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1-2 место в каждой номинации на зональном этапе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Арский район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18.03.2026</w:t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Сабинский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Высокогорский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Кукморский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Балтасинский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Тюлячинский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Арский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Атнинский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Пестречинский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lang w:val="en-US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306" w:hRule="atLeast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 зона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 место в муниципальном этапе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1-2 место в каждой номинации на зональном этапе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Верхнеуслонский район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19.03.2026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306" w:hRule="atLeast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Зеленодольский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lang w:val="en-US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306" w:hRule="atLeast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Верхнеуслонский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Тетюшский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Буинский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Апастовский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Дрожжановский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Кайбицкий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Камско-Устьинский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 зона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 место в муниципальном этапе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1-2 место в каждой номинации на зональном этапе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Набережные Челны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24.03.2026</w:t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Набережные Челны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Тукаевский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Мензелинский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Агрызский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Менделеевский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>
          <w:trHeight w:val="255" w:hRule="atLeast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Актанышский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Нижнекамский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Мамадышский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Заинский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Елабужский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right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4 зона 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 место в муниципальном этапе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1-2 место в каждой номинации на зональном этапе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 xml:space="preserve">Спасский 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район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26.03.2026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>
          <w:trHeight w:val="269" w:hRule="atLeast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Алькеевский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Спасский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Лаишевский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Алексеевский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Новошешминский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Нурлатский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Аксубаевский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Чистопольский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Рыбно-Слободский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5 зона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 место в муниципальном этапе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1-2 место в каждой номинации на зональном этапе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Альметьевский район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31.03.2026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Черемшанский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Альметьевский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Лениногорский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Сармановский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Муслюмовский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Бугульминский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Бавлинский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Азнакаевский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Ютазинский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27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  <w:highlight w:val="yellow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6 зона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 место в районном этапе</w:t>
            </w:r>
          </w:p>
        </w:tc>
        <w:tc>
          <w:tcPr>
            <w:tcW w:w="20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1-2 место в каждой номинации на зональном этапе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Cs/>
                <w:sz w:val="24"/>
                <w:szCs w:val="24"/>
              </w:rPr>
            </w:r>
          </w:p>
        </w:tc>
        <w:tc>
          <w:tcPr>
            <w:tcW w:w="23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г. Казань</w:t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Авиастроительный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Вахитовский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Кировский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Московский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Ново-Савиновский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Приволжский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Советский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  <w:tr>
        <w:trPr/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right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2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  <w:t>21</w:t>
            </w:r>
          </w:p>
        </w:tc>
        <w:tc>
          <w:tcPr>
            <w:tcW w:w="2014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  <w:tc>
          <w:tcPr>
            <w:tcW w:w="2316" w:type="dxa"/>
            <w:vMerge w:val="continue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tabs>
                <w:tab w:val="clear" w:pos="708"/>
                <w:tab w:val="left" w:pos="851" w:leader="none"/>
              </w:tabs>
              <w:spacing w:lineRule="auto" w:line="240" w:before="0" w:after="0"/>
              <w:jc w:val="center"/>
              <w:textAlignment w:val="baseli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b/>
                <w:sz w:val="24"/>
                <w:szCs w:val="24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663" w:right="-1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663" w:right="-1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663" w:right="-1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663" w:right="-1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Утвержден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приказом Министерства 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образования и науки 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 xml:space="preserve">Республики Татарстан </w:t>
      </w:r>
    </w:p>
    <w:p>
      <w:pPr>
        <w:pStyle w:val="Normal"/>
        <w:spacing w:lineRule="auto" w:line="259" w:before="0" w:after="0"/>
        <w:ind w:left="6663" w:right="-1"/>
        <w:jc w:val="both"/>
        <w:rPr>
          <w:rFonts w:ascii="Times New Roman" w:hAnsi="Times New Roman" w:eastAsia="Calibri" w:cs="Times New Roman"/>
          <w:sz w:val="28"/>
          <w:szCs w:val="28"/>
        </w:rPr>
      </w:pPr>
      <w:r>
        <w:rPr>
          <w:rFonts w:eastAsia="Calibri" w:cs="Times New Roman" w:ascii="Times New Roman" w:hAnsi="Times New Roman"/>
          <w:sz w:val="28"/>
          <w:szCs w:val="28"/>
        </w:rPr>
        <w:t>от _______________ 2026 г.</w:t>
      </w:r>
    </w:p>
    <w:p>
      <w:pPr>
        <w:pStyle w:val="53"/>
        <w:shd w:val="clear" w:color="auto" w:fill="auto"/>
        <w:spacing w:lineRule="auto" w:line="240"/>
        <w:ind w:left="6663"/>
        <w:rPr/>
      </w:pPr>
      <w:r>
        <w:rPr>
          <w:rFonts w:eastAsia="Calibri"/>
        </w:rPr>
        <w:t xml:space="preserve">№ </w:t>
      </w:r>
      <w:r>
        <w:rPr>
          <w:rFonts w:eastAsia="Calibri"/>
        </w:rPr>
        <w:t>_____________________</w:t>
      </w:r>
    </w:p>
    <w:p>
      <w:pPr>
        <w:pStyle w:val="Normal"/>
        <w:spacing w:lineRule="auto" w:line="240" w:before="0"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right="40"/>
        <w:jc w:val="center"/>
        <w:outlineLvl w:val="0"/>
        <w:rPr>
          <w:rFonts w:ascii="Times New Roman" w:hAnsi="Times New Roman" w:eastAsia="Times New Roman" w:cs="Times New Roman"/>
          <w:b/>
          <w:bCs/>
          <w:color w:val="000000"/>
          <w:sz w:val="28"/>
          <w:szCs w:val="24"/>
          <w:lang w:bidi="ru-RU"/>
        </w:rPr>
      </w:pPr>
      <w:r>
        <w:rPr>
          <w:rFonts w:eastAsia="Times New Roman" w:cs="Times New Roman" w:ascii="Times New Roman" w:hAnsi="Times New Roman"/>
          <w:b/>
          <w:bCs/>
          <w:color w:val="000000"/>
          <w:sz w:val="28"/>
          <w:szCs w:val="24"/>
          <w:lang w:bidi="ru-RU"/>
        </w:rPr>
        <w:t>СОСТАВ ОРГКОМИТЕТА</w:t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right="40"/>
        <w:jc w:val="center"/>
        <w:outlineLvl w:val="0"/>
        <w:rPr>
          <w:rStyle w:val="3"/>
          <w:bCs w:val="false"/>
          <w:color w:val="000000"/>
        </w:rPr>
      </w:pPr>
      <w:r>
        <w:rPr>
          <w:rStyle w:val="3"/>
          <w:bCs w:val="false"/>
          <w:color w:val="000000"/>
        </w:rPr>
        <w:t>Республиканского конкурса профессионального мастерства работников сферы воспитания и дополнительного образования «Воспитать человека»</w:t>
      </w:r>
    </w:p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0"/>
        <w:ind w:right="40"/>
        <w:jc w:val="center"/>
        <w:outlineLvl w:val="0"/>
        <w:rPr>
          <w:rFonts w:ascii="Calibri" w:hAnsi="Calibri" w:eastAsia="Times New Roman" w:cs="Times New Roman"/>
          <w:bCs/>
          <w:sz w:val="28"/>
          <w:szCs w:val="24"/>
        </w:rPr>
      </w:pPr>
      <w:r>
        <w:rPr>
          <w:rFonts w:eastAsia="Times New Roman" w:cs="Times New Roman" w:ascii="Calibri" w:hAnsi="Calibri"/>
          <w:bCs/>
          <w:sz w:val="28"/>
          <w:szCs w:val="24"/>
        </w:rPr>
      </w:r>
    </w:p>
    <w:tbl>
      <w:tblPr>
        <w:tblW w:w="5000" w:type="pct"/>
        <w:jc w:val="left"/>
        <w:tblInd w:w="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val="04a0" w:noHBand="0" w:noVBand="1" w:firstColumn="1" w:lastRow="0" w:lastColumn="0" w:firstRow="1"/>
      </w:tblPr>
      <w:tblGrid>
        <w:gridCol w:w="4255"/>
        <w:gridCol w:w="5949"/>
      </w:tblGrid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Асадуллина Алсу Мунибовна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 xml:space="preserve">заместитель министра образования и науки Республики Татарстан, председатель Организационного комитета </w:t>
            </w:r>
          </w:p>
        </w:tc>
      </w:tr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Кашапова Айгуль Разифовна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управления воспитания, дополнительного образования детей и развития психологического сопровождения обучающихся Министерства образования и науки Республики Татарстан, заместитель председателя Организационного комитета</w:t>
            </w:r>
          </w:p>
        </w:tc>
      </w:tr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Курманова Анастасия Константиновна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начальник отдела дополн</w:t>
            </w:r>
            <w:bookmarkStart w:id="1" w:name="_GoBack"/>
            <w:bookmarkEnd w:id="1"/>
            <w:r>
              <w:rPr>
                <w:rFonts w:cs="Times New Roman" w:ascii="Times New Roman" w:hAnsi="Times New Roman"/>
                <w:sz w:val="28"/>
                <w:szCs w:val="28"/>
              </w:rPr>
              <w:t>ительного образования и воспитания детей Министерства образования и науки Республики Татарстан, заместитель председателя Организационного комитета</w:t>
            </w:r>
          </w:p>
        </w:tc>
      </w:tr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Гайфуллин Айрат Фидаилевич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региональный координатор Всероссийского проекта «Навигаторы детства» в Республике Татарстан – главный эксперт отдела реализации проектов и программ в сфере патриотического воспитания граждан федерального государственного бюджетного учреждения «Росдетцентр», член Организационного комитета (по согласованию)</w:t>
            </w:r>
          </w:p>
        </w:tc>
      </w:tr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Жаринов Александр Владимирович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директор государственного бюджетного учреждения дополнительного образования «Республиканский центр внешкольной работы», член Организационного комитета</w:t>
            </w:r>
          </w:p>
        </w:tc>
      </w:tr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Владимирова Юлия Юрьевна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заместитель директора по методической поддержке, образовательным программам и внедрению новых форм дополнительного образования государственного бюджетного учреждения дополнительного образования «Республиканский центр внешкольной работы», член Организационного комитета</w:t>
            </w:r>
          </w:p>
        </w:tc>
      </w:tr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Демина Эльмира Гусмановна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заведующая отделом по реализации профессиональных программ и методическому обеспечению дополнительного образования государственного бюджетного учреждения дополнительного образования «Республиканский центр внешкольной работы», член Организационного комитета</w:t>
            </w:r>
          </w:p>
        </w:tc>
      </w:tr>
      <w:tr>
        <w:trPr>
          <w:trHeight w:val="20" w:hRule="atLeast"/>
        </w:trPr>
        <w:tc>
          <w:tcPr>
            <w:tcW w:w="4255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Хуснутдинова Раушания Рахимяновна</w:t>
            </w:r>
          </w:p>
        </w:tc>
        <w:tc>
          <w:tcPr>
            <w:tcW w:w="5949" w:type="dxa"/>
            <w:tcBorders/>
            <w:shd w:color="auto" w:fill="FFFFFF" w:val="clear"/>
          </w:tcPr>
          <w:p>
            <w:pPr>
              <w:pStyle w:val="Normal"/>
              <w:tabs>
                <w:tab w:val="clear" w:pos="708"/>
                <w:tab w:val="left" w:pos="6840" w:leader="none"/>
              </w:tabs>
              <w:spacing w:lineRule="auto" w:line="240" w:before="0" w:after="12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заведующая отделом социально-гуманитарной направленности государственного бюджетного учреждения дополнительного образования «Республиканский центр внешкольной работы», член Организационного комитета</w:t>
            </w:r>
          </w:p>
        </w:tc>
      </w:tr>
    </w:tbl>
    <w:p>
      <w:pPr>
        <w:pStyle w:val="Normal"/>
        <w:keepNext w:val="true"/>
        <w:keepLines/>
        <w:widowControl w:val="false"/>
        <w:numPr>
          <w:ilvl w:val="0"/>
          <w:numId w:val="0"/>
        </w:numPr>
        <w:spacing w:lineRule="auto" w:line="240" w:before="0" w:after="120"/>
        <w:ind w:right="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alatino Linotype">
    <w:charset w:val="01"/>
    <w:family w:val="roman"/>
    <w:pitch w:val="default"/>
  </w:font>
  <w:font w:name="Segoe UI">
    <w:charset w:val="01"/>
    <w:family w:val="swiss"/>
    <w:pitch w:val="default"/>
  </w:font>
  <w:font w:name="Courier New">
    <w:charset w:val="01"/>
    <w:family w:val="roman"/>
    <w:pitch w:val="default"/>
  </w:font>
  <w:font w:name="TimesNewRomanPSMT">
    <w:charset w:val="01"/>
    <w:family w:val="roman"/>
    <w:pitch w:val="default"/>
  </w:font>
  <w:font w:name="PT Astra Serif">
    <w:charset w:val="01"/>
    <w:family w:val="roman"/>
    <w:pitch w:val="default"/>
  </w:font>
  <w:font w:name="Calibri">
    <w:charset w:val="01"/>
    <w:family w:val="swiss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1065" w:hanging="705"/>
      </w:pPr>
      <w:rPr/>
    </w:lvl>
    <w:lvl w:ilvl="1">
      <w:start w:val="5"/>
      <w:isLgl/>
      <w:numFmt w:val="decimal"/>
      <w:lvlText w:val="%1.%2."/>
      <w:lvlJc w:val="left"/>
      <w:pPr>
        <w:tabs>
          <w:tab w:val="num" w:pos="0"/>
        </w:tabs>
        <w:ind w:left="1429" w:hanging="720"/>
      </w:pPr>
      <w:rPr/>
    </w:lvl>
    <w:lvl w:ilvl="2">
      <w:start w:val="1"/>
      <w:isLgl/>
      <w:numFmt w:val="decimal"/>
      <w:lvlText w:val="%1.%2.%3."/>
      <w:lvlJc w:val="left"/>
      <w:pPr>
        <w:tabs>
          <w:tab w:val="num" w:pos="0"/>
        </w:tabs>
        <w:ind w:left="1778" w:hanging="720"/>
      </w:pPr>
      <w:rPr/>
    </w:lvl>
    <w:lvl w:ilvl="3">
      <w:start w:val="1"/>
      <w:isLgl/>
      <w:numFmt w:val="decimal"/>
      <w:lvlText w:val="%1.%2.%3.%4."/>
      <w:lvlJc w:val="left"/>
      <w:pPr>
        <w:tabs>
          <w:tab w:val="num" w:pos="0"/>
        </w:tabs>
        <w:ind w:left="2487" w:hanging="1080"/>
      </w:pPr>
      <w:rPr/>
    </w:lvl>
    <w:lvl w:ilvl="4">
      <w:start w:val="1"/>
      <w:isLgl/>
      <w:numFmt w:val="decimal"/>
      <w:lvlText w:val="%1.%2.%3.%4.%5."/>
      <w:lvlJc w:val="left"/>
      <w:pPr>
        <w:tabs>
          <w:tab w:val="num" w:pos="0"/>
        </w:tabs>
        <w:ind w:left="2836" w:hanging="1080"/>
      </w:pPr>
      <w:rPr/>
    </w:lvl>
    <w:lvl w:ilvl="5">
      <w:start w:val="1"/>
      <w:isLgl/>
      <w:numFmt w:val="decimal"/>
      <w:lvlText w:val="%1.%2.%3.%4.%5.%6."/>
      <w:lvlJc w:val="left"/>
      <w:pPr>
        <w:tabs>
          <w:tab w:val="num" w:pos="0"/>
        </w:tabs>
        <w:ind w:left="3545" w:hanging="1440"/>
      </w:pPr>
      <w:rPr/>
    </w:lvl>
    <w:lvl w:ilvl="6">
      <w:start w:val="1"/>
      <w:isLgl/>
      <w:numFmt w:val="decimal"/>
      <w:lvlText w:val="%1.%2.%3.%4.%5.%6.%7."/>
      <w:lvlJc w:val="left"/>
      <w:pPr>
        <w:tabs>
          <w:tab w:val="num" w:pos="0"/>
        </w:tabs>
        <w:ind w:left="4254" w:hanging="1800"/>
      </w:pPr>
      <w:rPr/>
    </w:lvl>
    <w:lvl w:ilvl="7">
      <w:start w:val="1"/>
      <w:isLgl/>
      <w:numFmt w:val="decimal"/>
      <w:lvlText w:val="%1.%2.%3.%4.%5.%6.%7.%8."/>
      <w:lvlJc w:val="left"/>
      <w:pPr>
        <w:tabs>
          <w:tab w:val="num" w:pos="0"/>
        </w:tabs>
        <w:ind w:left="4603" w:hanging="1800"/>
      </w:pPr>
      <w:rPr/>
    </w:lvl>
    <w:lvl w:ilvl="8">
      <w:start w:val="1"/>
      <w:isLgl/>
      <w:numFmt w:val="decimal"/>
      <w:lvlText w:val="%1.%2.%3.%4.%5.%6.%7.%8.%9."/>
      <w:lvlJc w:val="left"/>
      <w:pPr>
        <w:tabs>
          <w:tab w:val="num" w:pos="0"/>
        </w:tabs>
        <w:ind w:left="5312" w:hanging="2160"/>
      </w:pPr>
      <w:rPr/>
    </w:lvl>
  </w:abstractNum>
  <w:abstractNum w:abstractNumId="2">
    <w:lvl w:ilvl="0">
      <w:start w:val="7"/>
      <w:numFmt w:val="decimal"/>
      <w:lvlText w:val="%1."/>
      <w:lvlJc w:val="left"/>
      <w:pPr>
        <w:tabs>
          <w:tab w:val="num" w:pos="0"/>
        </w:tabs>
        <w:ind w:left="450" w:hanging="450"/>
      </w:pPr>
      <w:rPr/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/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80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2160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rFonts w:ascii="Times New Roman" w:hAnsi="Times New Roman" w:eastAsia="Times New Roman" w:cs="Times New Roman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ru-RU" w:eastAsia="zh-CN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eastAsia="en-US" w:val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Pr>
      <w:color w:themeColor="hyperlink" w:val="0000FF"/>
      <w:u w:val="single"/>
    </w:rPr>
  </w:style>
  <w:style w:type="character" w:styleId="3" w:customStyle="1">
    <w:name w:val="Основной текст (3)_"/>
    <w:basedOn w:val="DefaultParagraphFont"/>
    <w:link w:val="31"/>
    <w:uiPriority w:val="99"/>
    <w:qFormat/>
    <w:rPr>
      <w:rFonts w:ascii="Times New Roman" w:hAnsi="Times New Roman" w:cs="Times New Roman"/>
      <w:b/>
      <w:bCs/>
      <w:sz w:val="28"/>
      <w:szCs w:val="28"/>
      <w:shd w:fill="FFFFFF" w:val="clear"/>
    </w:rPr>
  </w:style>
  <w:style w:type="character" w:styleId="Style14" w:customStyle="1">
    <w:name w:val="Колонтитул_"/>
    <w:basedOn w:val="DefaultParagraphFont"/>
    <w:link w:val="Style20"/>
    <w:qFormat/>
    <w:rPr>
      <w:rFonts w:ascii="Times New Roman" w:hAnsi="Times New Roman" w:cs="Times New Roman"/>
      <w:shd w:fill="FFFFFF" w:val="clear"/>
    </w:rPr>
  </w:style>
  <w:style w:type="character" w:styleId="2" w:customStyle="1">
    <w:name w:val="Основной текст (2)_"/>
    <w:basedOn w:val="DefaultParagraphFont"/>
    <w:link w:val="21"/>
    <w:qFormat/>
    <w:rPr>
      <w:rFonts w:ascii="Times New Roman" w:hAnsi="Times New Roman"/>
      <w:sz w:val="28"/>
      <w:szCs w:val="28"/>
      <w:shd w:fill="FFFFFF" w:val="clear"/>
    </w:rPr>
  </w:style>
  <w:style w:type="character" w:styleId="212pt" w:customStyle="1">
    <w:name w:val="Основной текст (2) + 12 pt"/>
    <w:basedOn w:val="2"/>
    <w:uiPriority w:val="99"/>
    <w:qFormat/>
    <w:rPr>
      <w:rFonts w:ascii="Times New Roman" w:hAnsi="Times New Roman"/>
      <w:sz w:val="24"/>
      <w:szCs w:val="24"/>
      <w:shd w:fill="FFFFFF" w:val="clear"/>
    </w:rPr>
  </w:style>
  <w:style w:type="character" w:styleId="212pt3" w:customStyle="1">
    <w:name w:val="Основной текст (2) + 12 pt3"/>
    <w:basedOn w:val="2"/>
    <w:uiPriority w:val="99"/>
    <w:qFormat/>
    <w:rPr>
      <w:rFonts w:ascii="Times New Roman" w:hAnsi="Times New Roman"/>
      <w:b/>
      <w:bCs/>
      <w:sz w:val="24"/>
      <w:szCs w:val="24"/>
      <w:shd w:fill="FFFFFF" w:val="clear"/>
    </w:rPr>
  </w:style>
  <w:style w:type="character" w:styleId="210" w:customStyle="1">
    <w:name w:val="Основной текст (2) + 10"/>
    <w:basedOn w:val="2"/>
    <w:uiPriority w:val="99"/>
    <w:qFormat/>
    <w:rPr>
      <w:rFonts w:ascii="Times New Roman" w:hAnsi="Times New Roman"/>
      <w:spacing w:val="0"/>
      <w:sz w:val="21"/>
      <w:szCs w:val="21"/>
      <w:shd w:fill="FFFFFF" w:val="clear"/>
    </w:rPr>
  </w:style>
  <w:style w:type="character" w:styleId="5" w:customStyle="1">
    <w:name w:val="Основной текст (5)_"/>
    <w:basedOn w:val="DefaultParagraphFont"/>
    <w:link w:val="511"/>
    <w:uiPriority w:val="99"/>
    <w:qFormat/>
    <w:rPr>
      <w:rFonts w:ascii="Times New Roman" w:hAnsi="Times New Roman"/>
      <w:shd w:fill="FFFFFF" w:val="clear"/>
    </w:rPr>
  </w:style>
  <w:style w:type="character" w:styleId="51" w:customStyle="1">
    <w:name w:val="Основной текст (5)"/>
    <w:basedOn w:val="5"/>
    <w:uiPriority w:val="99"/>
    <w:qFormat/>
    <w:rPr>
      <w:rFonts w:ascii="Times New Roman" w:hAnsi="Times New Roman"/>
      <w:u w:val="single"/>
      <w:shd w:fill="FFFFFF" w:val="clear"/>
    </w:rPr>
  </w:style>
  <w:style w:type="character" w:styleId="212pt2" w:customStyle="1">
    <w:name w:val="Основной текст (2) + 12 pt2"/>
    <w:basedOn w:val="2"/>
    <w:uiPriority w:val="99"/>
    <w:qFormat/>
    <w:rPr>
      <w:rFonts w:ascii="Times New Roman" w:hAnsi="Times New Roman" w:cs="Times New Roman"/>
      <w:sz w:val="24"/>
      <w:szCs w:val="24"/>
      <w:u w:val="none"/>
      <w:shd w:fill="FFFFFF" w:val="clear"/>
    </w:rPr>
  </w:style>
  <w:style w:type="character" w:styleId="2PalatinoLinotype" w:customStyle="1">
    <w:name w:val="Основной текст (2) + Palatino Linotype"/>
    <w:basedOn w:val="2"/>
    <w:uiPriority w:val="99"/>
    <w:qFormat/>
    <w:rPr>
      <w:rFonts w:ascii="Palatino Linotype" w:hAnsi="Palatino Linotype" w:cs="Palatino Linotype"/>
      <w:sz w:val="12"/>
      <w:szCs w:val="12"/>
      <w:u w:val="none"/>
      <w:shd w:fill="FFFFFF" w:val="clear"/>
    </w:rPr>
  </w:style>
  <w:style w:type="character" w:styleId="212pt1" w:customStyle="1">
    <w:name w:val="Основной текст (2) + 12 pt1"/>
    <w:basedOn w:val="2"/>
    <w:uiPriority w:val="99"/>
    <w:qFormat/>
    <w:rPr>
      <w:rFonts w:ascii="Times New Roman" w:hAnsi="Times New Roman" w:cs="Times New Roman"/>
      <w:b/>
      <w:bCs/>
      <w:sz w:val="24"/>
      <w:szCs w:val="24"/>
      <w:u w:val="none"/>
      <w:shd w:fill="FFFFFF" w:val="clear"/>
    </w:rPr>
  </w:style>
  <w:style w:type="character" w:styleId="Style15" w:customStyle="1">
    <w:name w:val="Текст выноски Знак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</w:rPr>
  </w:style>
  <w:style w:type="character" w:styleId="Style16" w:customStyle="1">
    <w:name w:val="Текст Знак"/>
    <w:basedOn w:val="DefaultParagraphFont"/>
    <w:link w:val="PlainText"/>
    <w:uiPriority w:val="99"/>
    <w:qFormat/>
    <w:rPr>
      <w:rFonts w:ascii="Courier New" w:hAnsi="Courier New" w:eastAsia="Times New Roman" w:cs="Courier New"/>
      <w:sz w:val="20"/>
      <w:szCs w:val="20"/>
      <w:lang w:val="en-US"/>
    </w:rPr>
  </w:style>
  <w:style w:type="character" w:styleId="6" w:customStyle="1">
    <w:name w:val="Основной текст (6)_"/>
    <w:basedOn w:val="DefaultParagraphFont"/>
    <w:link w:val="61"/>
    <w:qFormat/>
    <w:rPr>
      <w:rFonts w:ascii="Times New Roman" w:hAnsi="Times New Roman" w:eastAsia="Times New Roman" w:cs="Times New Roman"/>
      <w:b/>
      <w:bCs/>
      <w:sz w:val="28"/>
      <w:szCs w:val="28"/>
      <w:shd w:fill="FFFFFF" w:val="clear"/>
    </w:rPr>
  </w:style>
  <w:style w:type="character" w:styleId="52" w:customStyle="1">
    <w:name w:val="Колонтитул (5)_"/>
    <w:basedOn w:val="DefaultParagraphFont"/>
    <w:link w:val="53"/>
    <w:qFormat/>
    <w:rPr>
      <w:rFonts w:ascii="Times New Roman" w:hAnsi="Times New Roman" w:eastAsia="Times New Roman" w:cs="Times New Roman"/>
      <w:sz w:val="28"/>
      <w:szCs w:val="28"/>
      <w:shd w:fill="FFFFFF" w:val="clear"/>
    </w:rPr>
  </w:style>
  <w:style w:type="character" w:styleId="211pt" w:customStyle="1">
    <w:name w:val="Основной текст (2) + 11 pt"/>
    <w:basedOn w:val="2"/>
    <w:qFormat/>
    <w:rPr>
      <w:rFonts w:ascii="Times New Roman" w:hAnsi="Times New Roman" w:eastAsia="Times New Roman" w:cs="Times New Roman"/>
      <w:color w:val="000000"/>
      <w:spacing w:val="0"/>
      <w:w w:val="100"/>
      <w:sz w:val="22"/>
      <w:szCs w:val="22"/>
      <w:u w:val="none"/>
      <w:shd w:fill="FFFFFF" w:val="clear"/>
      <w:lang w:val="ru-RU" w:eastAsia="ru-RU" w:bidi="ru-RU"/>
    </w:rPr>
  </w:style>
  <w:style w:type="character" w:styleId="7" w:customStyle="1">
    <w:name w:val="Основной текст (7)_"/>
    <w:basedOn w:val="DefaultParagraphFont"/>
    <w:link w:val="71"/>
    <w:qFormat/>
    <w:rsid w:val="00916771"/>
    <w:rPr>
      <w:rFonts w:ascii="Times New Roman" w:hAnsi="Times New Roman" w:eastAsia="Times New Roman" w:cs="Times New Roman"/>
      <w:sz w:val="26"/>
      <w:szCs w:val="26"/>
      <w:shd w:fill="FFFFFF" w:val="clear"/>
    </w:rPr>
  </w:style>
  <w:style w:type="character" w:styleId="Style17" w:customStyle="1">
    <w:name w:val="Основной текст_"/>
    <w:basedOn w:val="DefaultParagraphFont"/>
    <w:link w:val="12"/>
    <w:qFormat/>
    <w:rsid w:val="003c5ab3"/>
    <w:rPr>
      <w:rFonts w:ascii="Times New Roman" w:hAnsi="Times New Roman" w:eastAsia="Times New Roman" w:cs="Times New Roman"/>
      <w:sz w:val="28"/>
      <w:szCs w:val="28"/>
    </w:rPr>
  </w:style>
  <w:style w:type="character" w:styleId="1" w:customStyle="1">
    <w:name w:val="Заголовок №1_"/>
    <w:basedOn w:val="DefaultParagraphFont"/>
    <w:link w:val="13"/>
    <w:qFormat/>
    <w:rsid w:val="003c5ab3"/>
    <w:rPr>
      <w:rFonts w:ascii="Times New Roman" w:hAnsi="Times New Roman" w:eastAsia="Times New Roman" w:cs="Times New Roman"/>
      <w:b/>
      <w:bCs/>
      <w:sz w:val="28"/>
      <w:szCs w:val="28"/>
    </w:rPr>
  </w:style>
  <w:style w:type="character" w:styleId="fontstyle01" w:customStyle="1">
    <w:name w:val="fontstyle01"/>
    <w:basedOn w:val="DefaultParagraphFont"/>
    <w:qFormat/>
    <w:rsid w:val="00e20795"/>
    <w:rPr>
      <w:rFonts w:ascii="TimesNewRomanPSMT" w:hAnsi="TimesNewRomanPSMT"/>
      <w:b w:val="false"/>
      <w:bCs w:val="false"/>
      <w:i w:val="false"/>
      <w:iCs w:val="false"/>
      <w:color w:val="000000"/>
      <w:sz w:val="28"/>
      <w:szCs w:val="28"/>
    </w:rPr>
  </w:style>
  <w:style w:type="paragraph" w:styleId="Style18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9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11" w:customStyle="1">
    <w:name w:val="Заголовок1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IndexHeading">
    <w:name w:val="index heading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BalloonText">
    <w:name w:val="Balloon Text"/>
    <w:basedOn w:val="Normal"/>
    <w:link w:val="Style15"/>
    <w:uiPriority w:val="99"/>
    <w:semiHidden/>
    <w:unhideWhenUsed/>
    <w:qFormat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PlainText">
    <w:name w:val="Plain Text"/>
    <w:basedOn w:val="Normal"/>
    <w:link w:val="Style16"/>
    <w:uiPriority w:val="99"/>
    <w:unhideWhenUsed/>
    <w:qFormat/>
    <w:pPr>
      <w:spacing w:lineRule="auto" w:line="240" w:before="0" w:after="0"/>
    </w:pPr>
    <w:rPr>
      <w:rFonts w:ascii="Courier New" w:hAnsi="Courier New" w:eastAsia="Times New Roman" w:cs="Courier New"/>
      <w:sz w:val="20"/>
      <w:szCs w:val="20"/>
      <w:lang w:val="en-US"/>
    </w:rPr>
  </w:style>
  <w:style w:type="paragraph" w:styleId="31" w:customStyle="1">
    <w:name w:val="Основной текст (3)"/>
    <w:basedOn w:val="Normal"/>
    <w:link w:val="3"/>
    <w:uiPriority w:val="99"/>
    <w:qFormat/>
    <w:pPr>
      <w:widowControl w:val="false"/>
      <w:shd w:val="clear" w:color="auto" w:fill="FFFFFF"/>
      <w:spacing w:lineRule="exact" w:line="486" w:before="240" w:after="420"/>
      <w:jc w:val="center"/>
    </w:pPr>
    <w:rPr>
      <w:rFonts w:ascii="Times New Roman" w:hAnsi="Times New Roman" w:cs="Times New Roman"/>
      <w:b/>
      <w:bCs/>
      <w:sz w:val="28"/>
      <w:szCs w:val="28"/>
    </w:rPr>
  </w:style>
  <w:style w:type="paragraph" w:styleId="Style20" w:customStyle="1">
    <w:name w:val="Колонтитул"/>
    <w:basedOn w:val="Normal"/>
    <w:link w:val="Style14"/>
    <w:qFormat/>
    <w:pPr>
      <w:widowControl w:val="false"/>
      <w:shd w:val="clear" w:color="auto" w:fill="FFFFFF"/>
      <w:spacing w:lineRule="atLeast" w:line="240" w:before="0" w:after="0"/>
    </w:pPr>
    <w:rPr>
      <w:rFonts w:ascii="Times New Roman" w:hAnsi="Times New Roman" w:cs="Times New Roman"/>
    </w:rPr>
  </w:style>
  <w:style w:type="paragraph" w:styleId="ListParagraph">
    <w:name w:val="List Paragraph"/>
    <w:basedOn w:val="Normal"/>
    <w:uiPriority w:val="34"/>
    <w:qFormat/>
    <w:pPr>
      <w:spacing w:before="0" w:after="200"/>
      <w:ind w:left="720"/>
      <w:contextualSpacing/>
    </w:pPr>
    <w:rPr/>
  </w:style>
  <w:style w:type="paragraph" w:styleId="21" w:customStyle="1">
    <w:name w:val="Основной текст (2)1"/>
    <w:basedOn w:val="Normal"/>
    <w:link w:val="2"/>
    <w:qFormat/>
    <w:pPr>
      <w:widowControl w:val="false"/>
      <w:shd w:val="clear" w:color="auto" w:fill="FFFFFF"/>
      <w:spacing w:lineRule="atLeast" w:line="240" w:before="0" w:after="0"/>
      <w:ind w:hanging="600"/>
    </w:pPr>
    <w:rPr>
      <w:rFonts w:ascii="Times New Roman" w:hAnsi="Times New Roman"/>
      <w:sz w:val="28"/>
      <w:szCs w:val="28"/>
    </w:rPr>
  </w:style>
  <w:style w:type="paragraph" w:styleId="511" w:customStyle="1">
    <w:name w:val="Основной текст (5)1"/>
    <w:basedOn w:val="Normal"/>
    <w:link w:val="5"/>
    <w:uiPriority w:val="99"/>
    <w:qFormat/>
    <w:pPr>
      <w:widowControl w:val="false"/>
      <w:shd w:val="clear" w:color="auto" w:fill="FFFFFF"/>
      <w:spacing w:lineRule="atLeast" w:line="240" w:before="900" w:after="420"/>
      <w:ind w:hanging="360"/>
      <w:jc w:val="both"/>
    </w:pPr>
    <w:rPr>
      <w:rFonts w:ascii="Times New Roman" w:hAnsi="Times New Roman"/>
    </w:rPr>
  </w:style>
  <w:style w:type="paragraph" w:styleId="NoSpacing">
    <w:name w:val="No Spacing"/>
    <w:uiPriority w:val="1"/>
    <w:qFormat/>
    <w:pPr>
      <w:widowControl/>
      <w:suppressAutoHyphens w:val="true"/>
      <w:bidi w:val="0"/>
      <w:spacing w:before="0" w:after="0"/>
      <w:jc w:val="left"/>
    </w:pPr>
    <w:rPr>
      <w:rFonts w:eastAsia="Times New Roman" w:cs="Times New Roman" w:ascii="Calibri" w:hAnsi="Calibri" w:asciiTheme="minorHAnsi" w:hAnsiTheme="minorHAnsi"/>
      <w:color w:val="auto"/>
      <w:kern w:val="0"/>
      <w:sz w:val="22"/>
      <w:szCs w:val="22"/>
      <w:lang w:eastAsia="en-US" w:val="ru-RU" w:bidi="ar-SA"/>
    </w:rPr>
  </w:style>
  <w:style w:type="paragraph" w:styleId="22" w:customStyle="1">
    <w:name w:val="Основной текст (2)"/>
    <w:basedOn w:val="Normal"/>
    <w:qFormat/>
    <w:pPr>
      <w:widowControl w:val="false"/>
      <w:shd w:val="clear" w:color="auto" w:fill="FFFFFF"/>
      <w:spacing w:lineRule="exact" w:line="324" w:before="0" w:after="0"/>
    </w:pPr>
    <w:rPr>
      <w:rFonts w:ascii="Times New Roman" w:hAnsi="Times New Roman" w:eastAsia="Times New Roman" w:cs="Times New Roman"/>
      <w:sz w:val="28"/>
      <w:szCs w:val="28"/>
    </w:rPr>
  </w:style>
  <w:style w:type="paragraph" w:styleId="61" w:customStyle="1">
    <w:name w:val="Основной текст (6)"/>
    <w:basedOn w:val="Normal"/>
    <w:link w:val="6"/>
    <w:qFormat/>
    <w:pPr>
      <w:widowControl w:val="false"/>
      <w:shd w:val="clear" w:color="auto" w:fill="FFFFFF"/>
      <w:spacing w:lineRule="atLeast" w:line="0" w:before="1740" w:after="120"/>
      <w:ind w:hanging="1660"/>
      <w:jc w:val="center"/>
    </w:pPr>
    <w:rPr>
      <w:rFonts w:ascii="Times New Roman" w:hAnsi="Times New Roman" w:eastAsia="Times New Roman" w:cs="Times New Roman"/>
      <w:b/>
      <w:bCs/>
      <w:sz w:val="28"/>
      <w:szCs w:val="28"/>
    </w:rPr>
  </w:style>
  <w:style w:type="paragraph" w:styleId="53" w:customStyle="1">
    <w:name w:val="Колонтитул (5)"/>
    <w:basedOn w:val="Normal"/>
    <w:link w:val="52"/>
    <w:qFormat/>
    <w:pPr>
      <w:widowControl w:val="false"/>
      <w:shd w:val="clear" w:color="auto" w:fill="FFFFFF"/>
      <w:spacing w:lineRule="atLeast" w:line="0" w:before="0" w:after="0"/>
    </w:pPr>
    <w:rPr>
      <w:rFonts w:ascii="Times New Roman" w:hAnsi="Times New Roman" w:eastAsia="Times New Roman" w:cs="Times New Roman"/>
      <w:sz w:val="28"/>
      <w:szCs w:val="28"/>
    </w:rPr>
  </w:style>
  <w:style w:type="paragraph" w:styleId="71" w:customStyle="1">
    <w:name w:val="Основной текст (7)"/>
    <w:basedOn w:val="Normal"/>
    <w:link w:val="7"/>
    <w:qFormat/>
    <w:rsid w:val="00916771"/>
    <w:pPr>
      <w:widowControl w:val="false"/>
      <w:shd w:val="clear" w:color="auto" w:fill="FFFFFF"/>
      <w:spacing w:lineRule="exact" w:line="486" w:before="0" w:after="0"/>
      <w:jc w:val="both"/>
    </w:pPr>
    <w:rPr>
      <w:rFonts w:ascii="Times New Roman" w:hAnsi="Times New Roman" w:eastAsia="Times New Roman" w:cs="Times New Roman"/>
      <w:sz w:val="26"/>
      <w:szCs w:val="26"/>
      <w:lang w:eastAsia="ru-RU"/>
    </w:rPr>
  </w:style>
  <w:style w:type="paragraph" w:styleId="12" w:customStyle="1">
    <w:name w:val="Основной текст1"/>
    <w:basedOn w:val="Normal"/>
    <w:link w:val="Style17"/>
    <w:qFormat/>
    <w:rsid w:val="003c5ab3"/>
    <w:pPr>
      <w:widowControl w:val="false"/>
      <w:spacing w:lineRule="auto" w:line="360" w:before="0" w:after="0"/>
      <w:ind w:firstLine="400"/>
    </w:pPr>
    <w:rPr>
      <w:rFonts w:ascii="Times New Roman" w:hAnsi="Times New Roman" w:eastAsia="Times New Roman" w:cs="Times New Roman"/>
      <w:sz w:val="28"/>
      <w:szCs w:val="28"/>
      <w:lang w:eastAsia="ru-RU"/>
    </w:rPr>
  </w:style>
  <w:style w:type="paragraph" w:styleId="13" w:customStyle="1">
    <w:name w:val="Заголовок №1"/>
    <w:basedOn w:val="Normal"/>
    <w:link w:val="1"/>
    <w:qFormat/>
    <w:rsid w:val="003c5ab3"/>
    <w:pPr>
      <w:widowControl w:val="false"/>
      <w:spacing w:before="0" w:after="120"/>
      <w:jc w:val="center"/>
      <w:outlineLvl w:val="0"/>
    </w:pPr>
    <w:rPr>
      <w:rFonts w:ascii="Times New Roman" w:hAnsi="Times New Roman" w:eastAsia="Times New Roman" w:cs="Times New Roman"/>
      <w:b/>
      <w:bCs/>
      <w:sz w:val="28"/>
      <w:szCs w:val="28"/>
      <w:lang w:eastAsia="ru-RU"/>
    </w:rPr>
  </w:style>
  <w:style w:type="numbering" w:styleId="Style21" w:default="1">
    <w:name w:val="Без списка"/>
    <w:uiPriority w:val="99"/>
    <w:semiHidden/>
    <w:unhideWhenUsed/>
    <w:qFormat/>
  </w:style>
  <w:style w:type="numbering" w:styleId="user" w:customStyle="1">
    <w:name w:val="Без списка (user)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f2">
    <w:name w:val="Table Grid"/>
    <w:basedOn w:val="a1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">
    <w:name w:val="Сетка таблицы1"/>
    <w:basedOn w:val="a1"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table" w:customStyle="1" w:styleId="22">
    <w:name w:val="Сетка таблицы2"/>
    <w:basedOn w:val="a1"/>
    <w:uiPriority w:val="59"/>
    <w:qFormat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edu.tatar.ru/aviastroit/page10755.htm/page4859315.htm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<Relationship Id="rId8" Type="http://schemas.openxmlformats.org/officeDocument/2006/relationships/customXml" Target="../customXml/item2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248E64C4-FC61-4989-A57D-4347A3C34AA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LibreOffice/25.2.6.2$Linux_X86_64 LibreOffice_project/520$Build-2</Application>
  <AppVersion>15.0000</AppVersion>
  <Pages>23</Pages>
  <Words>4404</Words>
  <Characters>34265</Characters>
  <CharactersWithSpaces>38305</CharactersWithSpaces>
  <Paragraphs>547</Paragraphs>
  <Company>Microsoft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2026-02-24T13:22:00Z</dcterms:created>
  <dc:creator>1</dc:creator>
  <dc:description/>
  <dc:language>ru-RU</dc:language>
  <cp:lastModifiedBy>Admin</cp:lastModifiedBy>
  <cp:lastPrinted>2024-01-15T16:13:00Z</cp:lastPrinted>
  <dcterms:modified xsi:type="dcterms:W3CDTF">2026-02-24T13:22:00Z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5430580823524DC38657789EA350567A</vt:lpwstr>
  </property>
  <property fmtid="{D5CDD505-2E9C-101B-9397-08002B2CF9AE}" pid="3" name="KSOProductBuildVer">
    <vt:lpwstr>1049-11.2.0.10463</vt:lpwstr>
  </property>
</Properties>
</file>